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A2A" w:rsidRDefault="009A3860" w:rsidP="00953A2A">
      <w:pPr>
        <w:spacing w:after="0" w:line="240" w:lineRule="auto"/>
        <w:jc w:val="center"/>
        <w:rPr>
          <w:rFonts w:ascii="Verdana" w:hAnsi="Verdana"/>
          <w:b/>
        </w:rPr>
      </w:pPr>
      <w:r w:rsidRPr="009A3860">
        <w:rPr>
          <w:rFonts w:ascii="Verdana" w:hAnsi="Verdana"/>
          <w:b/>
        </w:rPr>
        <w:t>Colegio Universitario de Cartago</w:t>
      </w:r>
    </w:p>
    <w:p w:rsidR="00953A2A" w:rsidRDefault="00953A2A" w:rsidP="00953A2A">
      <w:pPr>
        <w:spacing w:after="0" w:line="240" w:lineRule="auto"/>
        <w:jc w:val="center"/>
        <w:rPr>
          <w:rFonts w:ascii="Verdana" w:hAnsi="Verdana"/>
          <w:b/>
        </w:rPr>
      </w:pPr>
    </w:p>
    <w:p w:rsidR="009A3860" w:rsidRDefault="009A3860" w:rsidP="00953A2A">
      <w:pPr>
        <w:spacing w:after="0" w:line="240" w:lineRule="auto"/>
        <w:jc w:val="center"/>
        <w:rPr>
          <w:rFonts w:ascii="Verdana" w:hAnsi="Verdana"/>
          <w:b/>
        </w:rPr>
      </w:pPr>
      <w:r w:rsidRPr="009A3860">
        <w:rPr>
          <w:rFonts w:ascii="Verdana" w:hAnsi="Verdana"/>
          <w:b/>
        </w:rPr>
        <w:t>Consejo Directivo</w:t>
      </w: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A3860" w:rsidRDefault="009A3860"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Pr="009A3860" w:rsidRDefault="00953A2A" w:rsidP="00953A2A">
      <w:pPr>
        <w:spacing w:after="0" w:line="240" w:lineRule="auto"/>
        <w:jc w:val="center"/>
        <w:rPr>
          <w:rFonts w:ascii="Verdana" w:hAnsi="Verdana"/>
          <w:b/>
        </w:rPr>
      </w:pPr>
    </w:p>
    <w:p w:rsidR="009A3860" w:rsidRDefault="009A3860" w:rsidP="00953A2A">
      <w:pPr>
        <w:spacing w:after="0" w:line="240" w:lineRule="auto"/>
        <w:jc w:val="center"/>
        <w:rPr>
          <w:rFonts w:ascii="Verdana" w:hAnsi="Verdana"/>
          <w:b/>
        </w:rPr>
      </w:pPr>
      <w:r w:rsidRPr="009A3860">
        <w:rPr>
          <w:rFonts w:ascii="Verdana" w:hAnsi="Verdana"/>
          <w:b/>
        </w:rPr>
        <w:t>Presentación: Plan</w:t>
      </w:r>
      <w:r w:rsidR="002D1217">
        <w:rPr>
          <w:rFonts w:ascii="Verdana" w:hAnsi="Verdana"/>
          <w:b/>
        </w:rPr>
        <w:t>es Anuales de Trabajo</w:t>
      </w:r>
      <w:r w:rsidRPr="009A3860">
        <w:rPr>
          <w:rFonts w:ascii="Verdana" w:hAnsi="Verdana"/>
          <w:b/>
        </w:rPr>
        <w:t xml:space="preserve"> del Consejo Directivo</w:t>
      </w:r>
    </w:p>
    <w:p w:rsidR="00953A2A" w:rsidRPr="009A3860"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r w:rsidRPr="009A3860">
        <w:rPr>
          <w:rFonts w:ascii="Verdana" w:hAnsi="Verdana"/>
          <w:b/>
        </w:rPr>
        <w:t>Periodo 201</w:t>
      </w:r>
      <w:r w:rsidR="00356B58">
        <w:rPr>
          <w:rFonts w:ascii="Verdana" w:hAnsi="Verdana"/>
          <w:b/>
        </w:rPr>
        <w:t>9</w:t>
      </w:r>
      <w:r w:rsidRPr="009A3860">
        <w:rPr>
          <w:rFonts w:ascii="Verdana" w:hAnsi="Verdana"/>
          <w:b/>
        </w:rPr>
        <w:t>-2021</w:t>
      </w: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Pr="009A3860" w:rsidRDefault="00953A2A" w:rsidP="00953A2A">
      <w:pPr>
        <w:spacing w:after="0" w:line="240" w:lineRule="auto"/>
        <w:jc w:val="center"/>
        <w:rPr>
          <w:rFonts w:ascii="Verdana" w:hAnsi="Verdana"/>
          <w:b/>
        </w:rPr>
      </w:pPr>
    </w:p>
    <w:p w:rsidR="009A3860" w:rsidRDefault="009A3860" w:rsidP="00953A2A">
      <w:pPr>
        <w:spacing w:after="0" w:line="240" w:lineRule="auto"/>
        <w:jc w:val="center"/>
        <w:rPr>
          <w:rFonts w:ascii="Verdana" w:hAnsi="Verdana"/>
          <w:b/>
        </w:rPr>
      </w:pPr>
      <w:r w:rsidRPr="009A3860">
        <w:rPr>
          <w:rFonts w:ascii="Verdana" w:hAnsi="Verdana"/>
          <w:b/>
        </w:rPr>
        <w:t>Elaborado para: Contraloría General de la República</w:t>
      </w: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Pr="009A3860" w:rsidRDefault="00953A2A" w:rsidP="00953A2A">
      <w:pPr>
        <w:spacing w:after="0" w:line="240" w:lineRule="auto"/>
        <w:jc w:val="center"/>
        <w:rPr>
          <w:rFonts w:ascii="Verdana" w:hAnsi="Verdana"/>
          <w:b/>
        </w:rPr>
      </w:pPr>
    </w:p>
    <w:p w:rsidR="009A3860" w:rsidRDefault="009A3860" w:rsidP="00953A2A">
      <w:pPr>
        <w:spacing w:after="0" w:line="240" w:lineRule="auto"/>
        <w:jc w:val="center"/>
        <w:rPr>
          <w:rFonts w:ascii="Verdana" w:hAnsi="Verdana"/>
          <w:b/>
        </w:rPr>
      </w:pPr>
      <w:r w:rsidRPr="009A3860">
        <w:rPr>
          <w:rFonts w:ascii="Verdana" w:hAnsi="Verdana"/>
          <w:b/>
        </w:rPr>
        <w:t>Diciembre 2018</w:t>
      </w: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4C2E37" w:rsidRDefault="004C2E37" w:rsidP="00953A2A">
      <w:pPr>
        <w:spacing w:after="0" w:line="240" w:lineRule="auto"/>
        <w:jc w:val="center"/>
        <w:rPr>
          <w:rFonts w:ascii="Verdana" w:hAnsi="Verdana"/>
          <w:b/>
        </w:rPr>
      </w:pPr>
    </w:p>
    <w:p w:rsidR="00953A2A" w:rsidRDefault="00953A2A" w:rsidP="00953A2A">
      <w:pPr>
        <w:spacing w:after="0" w:line="240" w:lineRule="auto"/>
        <w:jc w:val="center"/>
        <w:rPr>
          <w:rFonts w:ascii="Verdana" w:hAnsi="Verdana"/>
          <w:b/>
        </w:rPr>
      </w:pPr>
    </w:p>
    <w:p w:rsidR="004C2E37" w:rsidRDefault="004C2E37" w:rsidP="00953A2A">
      <w:pPr>
        <w:spacing w:after="0" w:line="240" w:lineRule="auto"/>
        <w:rPr>
          <w:rFonts w:ascii="Verdana" w:hAnsi="Verdana"/>
          <w:b/>
        </w:rPr>
      </w:pPr>
    </w:p>
    <w:sdt>
      <w:sdtPr>
        <w:rPr>
          <w:lang w:val="es-ES"/>
        </w:rPr>
        <w:id w:val="-146958896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4C2E37" w:rsidRDefault="004C2E37">
          <w:pPr>
            <w:pStyle w:val="TtulodeTDC"/>
            <w:rPr>
              <w:b/>
              <w:color w:val="000000" w:themeColor="text1"/>
              <w:lang w:val="es-ES"/>
            </w:rPr>
          </w:pPr>
          <w:r w:rsidRPr="004C2E37">
            <w:rPr>
              <w:b/>
              <w:color w:val="000000" w:themeColor="text1"/>
              <w:lang w:val="es-ES"/>
            </w:rPr>
            <w:t>Contenido</w:t>
          </w:r>
        </w:p>
        <w:p w:rsidR="004C2E37" w:rsidRPr="004C2E37" w:rsidRDefault="004C2E37" w:rsidP="004C2E37">
          <w:pPr>
            <w:rPr>
              <w:lang w:val="es-ES" w:eastAsia="es-CR"/>
            </w:rPr>
          </w:pPr>
        </w:p>
        <w:p w:rsidR="004C2E37" w:rsidRPr="004C2E37" w:rsidRDefault="004C2E37">
          <w:pPr>
            <w:pStyle w:val="TDC1"/>
            <w:tabs>
              <w:tab w:val="left" w:pos="440"/>
              <w:tab w:val="right" w:leader="dot" w:pos="8828"/>
            </w:tabs>
            <w:rPr>
              <w:rFonts w:ascii="Verdana" w:eastAsiaTheme="minorEastAsia" w:hAnsi="Verdana"/>
              <w:noProof/>
              <w:lang w:eastAsia="es-CR"/>
            </w:rPr>
          </w:pPr>
          <w:r w:rsidRPr="004C2E37">
            <w:rPr>
              <w:rFonts w:ascii="Verdana" w:hAnsi="Verdana"/>
            </w:rPr>
            <w:fldChar w:fldCharType="begin"/>
          </w:r>
          <w:r w:rsidRPr="004C2E37">
            <w:rPr>
              <w:rFonts w:ascii="Verdana" w:hAnsi="Verdana"/>
            </w:rPr>
            <w:instrText xml:space="preserve"> TOC \o "1-3" \h \z \u </w:instrText>
          </w:r>
          <w:r w:rsidRPr="004C2E37">
            <w:rPr>
              <w:rFonts w:ascii="Verdana" w:hAnsi="Verdana"/>
            </w:rPr>
            <w:fldChar w:fldCharType="separate"/>
          </w:r>
          <w:hyperlink w:anchor="_Toc532981440" w:history="1">
            <w:r w:rsidRPr="004C2E37">
              <w:rPr>
                <w:rStyle w:val="Hipervnculo"/>
                <w:rFonts w:ascii="Verdana" w:hAnsi="Verdana"/>
                <w:noProof/>
              </w:rPr>
              <w:t>Introducción</w:t>
            </w:r>
            <w:r w:rsidRPr="004C2E37">
              <w:rPr>
                <w:rFonts w:ascii="Verdana" w:hAnsi="Verdana"/>
                <w:noProof/>
                <w:webHidden/>
              </w:rPr>
              <w:tab/>
            </w:r>
            <w:r w:rsidRPr="004C2E37">
              <w:rPr>
                <w:rFonts w:ascii="Verdana" w:hAnsi="Verdana"/>
                <w:noProof/>
                <w:webHidden/>
              </w:rPr>
              <w:fldChar w:fldCharType="begin"/>
            </w:r>
            <w:r w:rsidRPr="004C2E37">
              <w:rPr>
                <w:rFonts w:ascii="Verdana" w:hAnsi="Verdana"/>
                <w:noProof/>
                <w:webHidden/>
              </w:rPr>
              <w:instrText xml:space="preserve"> PAGEREF _Toc532981440 \h </w:instrText>
            </w:r>
            <w:r w:rsidRPr="004C2E37">
              <w:rPr>
                <w:rFonts w:ascii="Verdana" w:hAnsi="Verdana"/>
                <w:noProof/>
                <w:webHidden/>
              </w:rPr>
            </w:r>
            <w:r w:rsidRPr="004C2E37">
              <w:rPr>
                <w:rFonts w:ascii="Verdana" w:hAnsi="Verdana"/>
                <w:noProof/>
                <w:webHidden/>
              </w:rPr>
              <w:fldChar w:fldCharType="separate"/>
            </w:r>
            <w:r w:rsidRPr="004C2E37">
              <w:rPr>
                <w:rFonts w:ascii="Verdana" w:hAnsi="Verdana"/>
                <w:noProof/>
                <w:webHidden/>
              </w:rPr>
              <w:t>3</w:t>
            </w:r>
            <w:r w:rsidRPr="004C2E37">
              <w:rPr>
                <w:rFonts w:ascii="Verdana" w:hAnsi="Verdana"/>
                <w:noProof/>
                <w:webHidden/>
              </w:rPr>
              <w:fldChar w:fldCharType="end"/>
            </w:r>
          </w:hyperlink>
        </w:p>
        <w:p w:rsidR="004C2E37" w:rsidRPr="004C2E37" w:rsidRDefault="004C2E37">
          <w:pPr>
            <w:pStyle w:val="TDC1"/>
            <w:tabs>
              <w:tab w:val="left" w:pos="440"/>
              <w:tab w:val="right" w:leader="dot" w:pos="8828"/>
            </w:tabs>
            <w:rPr>
              <w:rFonts w:ascii="Verdana" w:eastAsiaTheme="minorEastAsia" w:hAnsi="Verdana"/>
              <w:noProof/>
              <w:lang w:eastAsia="es-CR"/>
            </w:rPr>
          </w:pPr>
          <w:hyperlink w:anchor="_Toc532981441" w:history="1">
            <w:r w:rsidRPr="004C2E37">
              <w:rPr>
                <w:rStyle w:val="Hipervnculo"/>
                <w:rFonts w:ascii="Verdana" w:hAnsi="Verdana"/>
                <w:noProof/>
              </w:rPr>
              <w:t>Factores críticos del éxito.</w:t>
            </w:r>
            <w:r w:rsidRPr="004C2E37">
              <w:rPr>
                <w:rFonts w:ascii="Verdana" w:hAnsi="Verdana"/>
                <w:noProof/>
                <w:webHidden/>
              </w:rPr>
              <w:tab/>
            </w:r>
            <w:r w:rsidRPr="004C2E37">
              <w:rPr>
                <w:rFonts w:ascii="Verdana" w:hAnsi="Verdana"/>
                <w:noProof/>
                <w:webHidden/>
              </w:rPr>
              <w:fldChar w:fldCharType="begin"/>
            </w:r>
            <w:r w:rsidRPr="004C2E37">
              <w:rPr>
                <w:rFonts w:ascii="Verdana" w:hAnsi="Verdana"/>
                <w:noProof/>
                <w:webHidden/>
              </w:rPr>
              <w:instrText xml:space="preserve"> PAGEREF _Toc532981441 \h </w:instrText>
            </w:r>
            <w:r w:rsidRPr="004C2E37">
              <w:rPr>
                <w:rFonts w:ascii="Verdana" w:hAnsi="Verdana"/>
                <w:noProof/>
                <w:webHidden/>
              </w:rPr>
            </w:r>
            <w:r w:rsidRPr="004C2E37">
              <w:rPr>
                <w:rFonts w:ascii="Verdana" w:hAnsi="Verdana"/>
                <w:noProof/>
                <w:webHidden/>
              </w:rPr>
              <w:fldChar w:fldCharType="separate"/>
            </w:r>
            <w:r w:rsidRPr="004C2E37">
              <w:rPr>
                <w:rFonts w:ascii="Verdana" w:hAnsi="Verdana"/>
                <w:noProof/>
                <w:webHidden/>
              </w:rPr>
              <w:t>5</w:t>
            </w:r>
            <w:r w:rsidRPr="004C2E37">
              <w:rPr>
                <w:rFonts w:ascii="Verdana" w:hAnsi="Verdana"/>
                <w:noProof/>
                <w:webHidden/>
              </w:rPr>
              <w:fldChar w:fldCharType="end"/>
            </w:r>
          </w:hyperlink>
        </w:p>
        <w:p w:rsidR="004C2E37" w:rsidRPr="004C2E37" w:rsidRDefault="004C2E37">
          <w:pPr>
            <w:pStyle w:val="TDC1"/>
            <w:tabs>
              <w:tab w:val="left" w:pos="660"/>
              <w:tab w:val="right" w:leader="dot" w:pos="8828"/>
            </w:tabs>
            <w:rPr>
              <w:rFonts w:ascii="Verdana" w:eastAsiaTheme="minorEastAsia" w:hAnsi="Verdana"/>
              <w:noProof/>
              <w:lang w:eastAsia="es-CR"/>
            </w:rPr>
          </w:pPr>
          <w:hyperlink w:anchor="_Toc532981442" w:history="1">
            <w:r w:rsidRPr="004C2E37">
              <w:rPr>
                <w:rStyle w:val="Hipervnculo"/>
                <w:rFonts w:ascii="Verdana" w:hAnsi="Verdana"/>
                <w:noProof/>
              </w:rPr>
              <w:t>Análisis de brechas</w:t>
            </w:r>
            <w:r w:rsidRPr="004C2E37">
              <w:rPr>
                <w:rFonts w:ascii="Verdana" w:hAnsi="Verdana"/>
                <w:noProof/>
                <w:webHidden/>
              </w:rPr>
              <w:tab/>
            </w:r>
            <w:r w:rsidRPr="004C2E37">
              <w:rPr>
                <w:rFonts w:ascii="Verdana" w:hAnsi="Verdana"/>
                <w:noProof/>
                <w:webHidden/>
              </w:rPr>
              <w:fldChar w:fldCharType="begin"/>
            </w:r>
            <w:r w:rsidRPr="004C2E37">
              <w:rPr>
                <w:rFonts w:ascii="Verdana" w:hAnsi="Verdana"/>
                <w:noProof/>
                <w:webHidden/>
              </w:rPr>
              <w:instrText xml:space="preserve"> PAGEREF _Toc532981442 \h </w:instrText>
            </w:r>
            <w:r w:rsidRPr="004C2E37">
              <w:rPr>
                <w:rFonts w:ascii="Verdana" w:hAnsi="Verdana"/>
                <w:noProof/>
                <w:webHidden/>
              </w:rPr>
            </w:r>
            <w:r w:rsidRPr="004C2E37">
              <w:rPr>
                <w:rFonts w:ascii="Verdana" w:hAnsi="Verdana"/>
                <w:noProof/>
                <w:webHidden/>
              </w:rPr>
              <w:fldChar w:fldCharType="separate"/>
            </w:r>
            <w:r w:rsidRPr="004C2E37">
              <w:rPr>
                <w:rFonts w:ascii="Verdana" w:hAnsi="Verdana"/>
                <w:noProof/>
                <w:webHidden/>
              </w:rPr>
              <w:t>6</w:t>
            </w:r>
            <w:r w:rsidRPr="004C2E37">
              <w:rPr>
                <w:rFonts w:ascii="Verdana" w:hAnsi="Verdana"/>
                <w:noProof/>
                <w:webHidden/>
              </w:rPr>
              <w:fldChar w:fldCharType="end"/>
            </w:r>
          </w:hyperlink>
        </w:p>
        <w:p w:rsidR="004C2E37" w:rsidRPr="004C2E37" w:rsidRDefault="004C2E37">
          <w:pPr>
            <w:pStyle w:val="TDC1"/>
            <w:tabs>
              <w:tab w:val="left" w:pos="660"/>
              <w:tab w:val="right" w:leader="dot" w:pos="8828"/>
            </w:tabs>
            <w:rPr>
              <w:rFonts w:ascii="Verdana" w:eastAsiaTheme="minorEastAsia" w:hAnsi="Verdana"/>
              <w:noProof/>
              <w:lang w:eastAsia="es-CR"/>
            </w:rPr>
          </w:pPr>
          <w:hyperlink w:anchor="_Toc532981443" w:history="1">
            <w:r w:rsidRPr="004C2E37">
              <w:rPr>
                <w:rStyle w:val="Hipervnculo"/>
                <w:rFonts w:ascii="Verdana" w:hAnsi="Verdana"/>
                <w:noProof/>
              </w:rPr>
              <w:t>Objetivos Estratégicos</w:t>
            </w:r>
            <w:r w:rsidRPr="004C2E37">
              <w:rPr>
                <w:rFonts w:ascii="Verdana" w:hAnsi="Verdana"/>
                <w:noProof/>
                <w:webHidden/>
              </w:rPr>
              <w:tab/>
            </w:r>
            <w:r w:rsidRPr="004C2E37">
              <w:rPr>
                <w:rFonts w:ascii="Verdana" w:hAnsi="Verdana"/>
                <w:noProof/>
                <w:webHidden/>
              </w:rPr>
              <w:fldChar w:fldCharType="begin"/>
            </w:r>
            <w:r w:rsidRPr="004C2E37">
              <w:rPr>
                <w:rFonts w:ascii="Verdana" w:hAnsi="Verdana"/>
                <w:noProof/>
                <w:webHidden/>
              </w:rPr>
              <w:instrText xml:space="preserve"> PAGEREF _Toc532981443 \h </w:instrText>
            </w:r>
            <w:r w:rsidRPr="004C2E37">
              <w:rPr>
                <w:rFonts w:ascii="Verdana" w:hAnsi="Verdana"/>
                <w:noProof/>
                <w:webHidden/>
              </w:rPr>
            </w:r>
            <w:r w:rsidRPr="004C2E37">
              <w:rPr>
                <w:rFonts w:ascii="Verdana" w:hAnsi="Verdana"/>
                <w:noProof/>
                <w:webHidden/>
              </w:rPr>
              <w:fldChar w:fldCharType="separate"/>
            </w:r>
            <w:r w:rsidRPr="004C2E37">
              <w:rPr>
                <w:rFonts w:ascii="Verdana" w:hAnsi="Verdana"/>
                <w:noProof/>
                <w:webHidden/>
              </w:rPr>
              <w:t>8</w:t>
            </w:r>
            <w:r w:rsidRPr="004C2E37">
              <w:rPr>
                <w:rFonts w:ascii="Verdana" w:hAnsi="Verdana"/>
                <w:noProof/>
                <w:webHidden/>
              </w:rPr>
              <w:fldChar w:fldCharType="end"/>
            </w:r>
          </w:hyperlink>
        </w:p>
        <w:p w:rsidR="004C2E37" w:rsidRPr="004C2E37" w:rsidRDefault="004C2E37">
          <w:pPr>
            <w:pStyle w:val="TDC1"/>
            <w:tabs>
              <w:tab w:val="left" w:pos="660"/>
              <w:tab w:val="right" w:leader="dot" w:pos="8828"/>
            </w:tabs>
            <w:rPr>
              <w:rFonts w:ascii="Verdana" w:eastAsiaTheme="minorEastAsia" w:hAnsi="Verdana"/>
              <w:noProof/>
              <w:lang w:eastAsia="es-CR"/>
            </w:rPr>
          </w:pPr>
          <w:hyperlink w:anchor="_Toc532981444" w:history="1">
            <w:r>
              <w:rPr>
                <w:rStyle w:val="Hipervnculo"/>
                <w:rFonts w:ascii="Verdana" w:hAnsi="Verdana"/>
                <w:noProof/>
              </w:rPr>
              <w:t>C</w:t>
            </w:r>
            <w:r w:rsidRPr="004C2E37">
              <w:rPr>
                <w:rStyle w:val="Hipervnculo"/>
                <w:rFonts w:ascii="Verdana" w:hAnsi="Verdana"/>
                <w:noProof/>
              </w:rPr>
              <w:t>onclusión</w:t>
            </w:r>
            <w:r w:rsidRPr="004C2E37">
              <w:rPr>
                <w:rFonts w:ascii="Verdana" w:hAnsi="Verdana"/>
                <w:noProof/>
                <w:webHidden/>
              </w:rPr>
              <w:tab/>
            </w:r>
            <w:r w:rsidRPr="004C2E37">
              <w:rPr>
                <w:rFonts w:ascii="Verdana" w:hAnsi="Verdana"/>
                <w:noProof/>
                <w:webHidden/>
              </w:rPr>
              <w:fldChar w:fldCharType="begin"/>
            </w:r>
            <w:r w:rsidRPr="004C2E37">
              <w:rPr>
                <w:rFonts w:ascii="Verdana" w:hAnsi="Verdana"/>
                <w:noProof/>
                <w:webHidden/>
              </w:rPr>
              <w:instrText xml:space="preserve"> PAGEREF _Toc532981444 \h </w:instrText>
            </w:r>
            <w:r w:rsidRPr="004C2E37">
              <w:rPr>
                <w:rFonts w:ascii="Verdana" w:hAnsi="Verdana"/>
                <w:noProof/>
                <w:webHidden/>
              </w:rPr>
            </w:r>
            <w:r w:rsidRPr="004C2E37">
              <w:rPr>
                <w:rFonts w:ascii="Verdana" w:hAnsi="Verdana"/>
                <w:noProof/>
                <w:webHidden/>
              </w:rPr>
              <w:fldChar w:fldCharType="separate"/>
            </w:r>
            <w:r w:rsidRPr="004C2E37">
              <w:rPr>
                <w:rFonts w:ascii="Verdana" w:hAnsi="Verdana"/>
                <w:noProof/>
                <w:webHidden/>
              </w:rPr>
              <w:t>9</w:t>
            </w:r>
            <w:r w:rsidRPr="004C2E37">
              <w:rPr>
                <w:rFonts w:ascii="Verdana" w:hAnsi="Verdana"/>
                <w:noProof/>
                <w:webHidden/>
              </w:rPr>
              <w:fldChar w:fldCharType="end"/>
            </w:r>
          </w:hyperlink>
        </w:p>
        <w:p w:rsidR="004C2E37" w:rsidRDefault="004C2E37">
          <w:r w:rsidRPr="004C2E37">
            <w:rPr>
              <w:rFonts w:ascii="Verdana" w:hAnsi="Verdana"/>
              <w:b/>
              <w:bCs/>
              <w:lang w:val="es-ES"/>
            </w:rPr>
            <w:fldChar w:fldCharType="end"/>
          </w:r>
        </w:p>
      </w:sdtContent>
    </w:sdt>
    <w:p w:rsidR="004331AD" w:rsidRDefault="004331AD" w:rsidP="00953A2A">
      <w:pPr>
        <w:spacing w:after="0" w:line="240" w:lineRule="auto"/>
        <w:rPr>
          <w:rFonts w:ascii="Verdana" w:hAnsi="Verdana"/>
          <w:b/>
        </w:rPr>
      </w:pPr>
    </w:p>
    <w:p w:rsidR="00953A2A" w:rsidRDefault="00953A2A" w:rsidP="00953A2A">
      <w:pPr>
        <w:spacing w:after="0" w:line="240" w:lineRule="auto"/>
        <w:jc w:val="center"/>
        <w:rPr>
          <w:rFonts w:ascii="Verdana" w:hAnsi="Verdana"/>
          <w:b/>
        </w:rPr>
      </w:pPr>
      <w:bookmarkStart w:id="0" w:name="_GoBack"/>
      <w:bookmarkEnd w:id="0"/>
    </w:p>
    <w:p w:rsidR="004331AD" w:rsidRDefault="004331AD" w:rsidP="009A3860">
      <w:pPr>
        <w:jc w:val="center"/>
        <w:rPr>
          <w:rFonts w:ascii="Verdana" w:hAnsi="Verdana"/>
          <w:b/>
        </w:rPr>
        <w:sectPr w:rsidR="004331AD" w:rsidSect="00953A2A">
          <w:headerReference w:type="default" r:id="rId8"/>
          <w:pgSz w:w="12240" w:h="15840"/>
          <w:pgMar w:top="2268" w:right="1701" w:bottom="1418" w:left="1701" w:header="709" w:footer="709" w:gutter="0"/>
          <w:cols w:space="708"/>
          <w:docGrid w:linePitch="360"/>
        </w:sectPr>
      </w:pPr>
    </w:p>
    <w:p w:rsidR="006E729B" w:rsidRPr="00953A2A" w:rsidRDefault="006E729B" w:rsidP="00E21103">
      <w:pPr>
        <w:pStyle w:val="Ttulo1"/>
        <w:numPr>
          <w:ilvl w:val="0"/>
          <w:numId w:val="6"/>
        </w:numPr>
        <w:rPr>
          <w:color w:val="auto"/>
        </w:rPr>
      </w:pPr>
      <w:bookmarkStart w:id="1" w:name="_Toc532981440"/>
      <w:r w:rsidRPr="00953A2A">
        <w:rPr>
          <w:color w:val="auto"/>
        </w:rPr>
        <w:t>Introduc</w:t>
      </w:r>
      <w:r w:rsidR="00FD5395" w:rsidRPr="00953A2A">
        <w:rPr>
          <w:color w:val="auto"/>
        </w:rPr>
        <w:t>ción</w:t>
      </w:r>
      <w:bookmarkEnd w:id="1"/>
      <w:r w:rsidRPr="00953A2A">
        <w:rPr>
          <w:color w:val="auto"/>
        </w:rPr>
        <w:t xml:space="preserve"> </w:t>
      </w:r>
    </w:p>
    <w:p w:rsidR="00FD5395" w:rsidRPr="00FD5395" w:rsidRDefault="00FD5395" w:rsidP="00FD5395"/>
    <w:p w:rsidR="00C73A79" w:rsidRDefault="00E276E5" w:rsidP="00D2497C">
      <w:pPr>
        <w:spacing w:line="360" w:lineRule="auto"/>
        <w:jc w:val="both"/>
        <w:rPr>
          <w:rFonts w:ascii="Verdana" w:hAnsi="Verdana"/>
        </w:rPr>
      </w:pPr>
      <w:r>
        <w:rPr>
          <w:rFonts w:ascii="Verdana" w:hAnsi="Verdana"/>
        </w:rPr>
        <w:t xml:space="preserve">El </w:t>
      </w:r>
      <w:r w:rsidR="002D1217">
        <w:rPr>
          <w:rFonts w:ascii="Verdana" w:hAnsi="Verdana"/>
        </w:rPr>
        <w:t>presen</w:t>
      </w:r>
      <w:r>
        <w:rPr>
          <w:rFonts w:ascii="Verdana" w:hAnsi="Verdana"/>
        </w:rPr>
        <w:t>te documento contiene información sobre la elaboración de los Planes Anuales de Trabajo del Consejo Directivo del Colegio Univers</w:t>
      </w:r>
      <w:r w:rsidR="00D2497C">
        <w:rPr>
          <w:rFonts w:ascii="Verdana" w:hAnsi="Verdana"/>
        </w:rPr>
        <w:t xml:space="preserve">itario de Cartago, elaborados </w:t>
      </w:r>
      <w:r w:rsidR="00C73A79">
        <w:rPr>
          <w:rFonts w:ascii="Verdana" w:hAnsi="Verdana"/>
        </w:rPr>
        <w:t>con el objetivo de</w:t>
      </w:r>
      <w:r w:rsidR="00D2497C">
        <w:rPr>
          <w:rFonts w:ascii="Verdana" w:hAnsi="Verdana"/>
        </w:rPr>
        <w:t xml:space="preserve"> cumplir con </w:t>
      </w:r>
      <w:r>
        <w:rPr>
          <w:rFonts w:ascii="Verdana" w:hAnsi="Verdana"/>
        </w:rPr>
        <w:t xml:space="preserve">el </w:t>
      </w:r>
      <w:r w:rsidR="00115E87">
        <w:rPr>
          <w:rFonts w:ascii="Verdana" w:hAnsi="Verdana"/>
        </w:rPr>
        <w:t>“I</w:t>
      </w:r>
      <w:r>
        <w:rPr>
          <w:rFonts w:ascii="Verdana" w:hAnsi="Verdana"/>
        </w:rPr>
        <w:t xml:space="preserve">nforme de auditoría de carácter especial sobre </w:t>
      </w:r>
      <w:r w:rsidR="00115E87">
        <w:rPr>
          <w:rFonts w:ascii="Verdana" w:hAnsi="Verdana"/>
        </w:rPr>
        <w:t xml:space="preserve">las </w:t>
      </w:r>
      <w:r>
        <w:rPr>
          <w:rFonts w:ascii="Verdana" w:hAnsi="Verdana"/>
        </w:rPr>
        <w:t>debilidades de control interno en el Colegio Universitario de Cartago</w:t>
      </w:r>
      <w:r w:rsidR="00115E87">
        <w:rPr>
          <w:rFonts w:ascii="Verdana" w:hAnsi="Verdana"/>
        </w:rPr>
        <w:t>”</w:t>
      </w:r>
      <w:r>
        <w:rPr>
          <w:rFonts w:ascii="Verdana" w:hAnsi="Verdana"/>
        </w:rPr>
        <w:t xml:space="preserve">, </w:t>
      </w:r>
      <w:r w:rsidR="00115E87">
        <w:rPr>
          <w:rFonts w:ascii="Verdana" w:hAnsi="Verdana"/>
        </w:rPr>
        <w:t>desarroll</w:t>
      </w:r>
      <w:r w:rsidR="00D2497C">
        <w:rPr>
          <w:rFonts w:ascii="Verdana" w:hAnsi="Verdana"/>
        </w:rPr>
        <w:t xml:space="preserve">ado por la Contraloría General de la República según </w:t>
      </w:r>
      <w:r>
        <w:rPr>
          <w:rFonts w:ascii="Verdana" w:hAnsi="Verdana"/>
        </w:rPr>
        <w:t>infor</w:t>
      </w:r>
      <w:r w:rsidR="00115E87">
        <w:rPr>
          <w:rFonts w:ascii="Verdana" w:hAnsi="Verdana"/>
        </w:rPr>
        <w:t>me N</w:t>
      </w:r>
      <w:r w:rsidR="00D2497C">
        <w:rPr>
          <w:rFonts w:ascii="Verdana" w:hAnsi="Verdana"/>
        </w:rPr>
        <w:t xml:space="preserve">° DFOE-SOC-IF-00012-2018, está tomando en consideración competencias de dirección </w:t>
      </w:r>
      <w:r w:rsidR="00115E87">
        <w:rPr>
          <w:rFonts w:ascii="Verdana" w:hAnsi="Verdana"/>
        </w:rPr>
        <w:t>y gobierno asignadas en la Ley N</w:t>
      </w:r>
      <w:r w:rsidR="00D2497C">
        <w:rPr>
          <w:rFonts w:ascii="Verdana" w:hAnsi="Verdana"/>
        </w:rPr>
        <w:t>°</w:t>
      </w:r>
      <w:r w:rsidR="00115E87">
        <w:rPr>
          <w:rFonts w:ascii="Verdana" w:hAnsi="Verdana"/>
        </w:rPr>
        <w:t xml:space="preserve"> </w:t>
      </w:r>
      <w:r w:rsidR="00FD5395">
        <w:rPr>
          <w:rFonts w:ascii="Verdana" w:hAnsi="Verdana"/>
        </w:rPr>
        <w:t>6541, Decreto E</w:t>
      </w:r>
      <w:r w:rsidR="00D2497C">
        <w:rPr>
          <w:rFonts w:ascii="Verdana" w:hAnsi="Verdana"/>
        </w:rPr>
        <w:t xml:space="preserve">jecutivo 38639-MEP y el Plan Estratégico institucional 2018-2023, con el objetivo de realizar aportes puntales </w:t>
      </w:r>
      <w:r w:rsidR="00115E87">
        <w:rPr>
          <w:rFonts w:ascii="Verdana" w:hAnsi="Verdana"/>
        </w:rPr>
        <w:t>para el direccionamiento de la I</w:t>
      </w:r>
      <w:r w:rsidR="00D2497C">
        <w:rPr>
          <w:rFonts w:ascii="Verdana" w:hAnsi="Verdana"/>
        </w:rPr>
        <w:t>nstitución, lo que permitirá acatar las oportunidades de mejora expresadas para el buen funcionamiento institucional</w:t>
      </w:r>
      <w:r w:rsidR="00C73A79">
        <w:rPr>
          <w:rFonts w:ascii="Verdana" w:hAnsi="Verdana"/>
        </w:rPr>
        <w:t>.</w:t>
      </w:r>
      <w:r w:rsidR="00D2497C">
        <w:rPr>
          <w:rFonts w:ascii="Verdana" w:hAnsi="Verdana"/>
        </w:rPr>
        <w:t xml:space="preserve"> </w:t>
      </w:r>
    </w:p>
    <w:p w:rsidR="004C2E37" w:rsidRDefault="004C2E37" w:rsidP="00D2497C">
      <w:pPr>
        <w:spacing w:line="360" w:lineRule="auto"/>
        <w:jc w:val="both"/>
        <w:rPr>
          <w:rFonts w:ascii="Verdana" w:hAnsi="Verdana"/>
        </w:rPr>
      </w:pPr>
    </w:p>
    <w:p w:rsidR="00D2497C" w:rsidRPr="00E276E5" w:rsidRDefault="002D1217" w:rsidP="00D2497C">
      <w:pPr>
        <w:spacing w:line="360" w:lineRule="auto"/>
        <w:jc w:val="both"/>
        <w:rPr>
          <w:rFonts w:ascii="Verdana" w:hAnsi="Verdana"/>
        </w:rPr>
      </w:pPr>
      <w:r>
        <w:rPr>
          <w:rFonts w:ascii="Verdana" w:hAnsi="Verdana"/>
        </w:rPr>
        <w:t>E</w:t>
      </w:r>
      <w:r w:rsidR="004D1D42">
        <w:rPr>
          <w:rFonts w:ascii="Verdana" w:hAnsi="Verdana"/>
        </w:rPr>
        <w:t>l Consejo Directivo mediante acuerdo CD-3536-2018 del 25 de setiembre del 2018, acordó conformar una comisión para dar respuesta a las recomendaciones indicadas en dicho informe</w:t>
      </w:r>
      <w:r w:rsidR="00C73A79">
        <w:rPr>
          <w:rFonts w:ascii="Verdana" w:hAnsi="Verdana"/>
        </w:rPr>
        <w:t>, desarrollando el siguiente documento que se dará a conocer a la comunidad institucional mediante los medios de comunicación pertinentes.</w:t>
      </w:r>
    </w:p>
    <w:p w:rsidR="00E276E5" w:rsidRDefault="00E276E5" w:rsidP="00E276E5">
      <w:pPr>
        <w:pStyle w:val="Prrafodelista"/>
        <w:rPr>
          <w:rFonts w:ascii="Verdana" w:hAnsi="Verdana"/>
        </w:rPr>
      </w:pPr>
    </w:p>
    <w:p w:rsidR="006E729B" w:rsidRPr="004C2E37" w:rsidRDefault="006E729B" w:rsidP="004C2E37">
      <w:pPr>
        <w:pStyle w:val="Prrafodelista"/>
        <w:numPr>
          <w:ilvl w:val="1"/>
          <w:numId w:val="7"/>
        </w:numPr>
        <w:rPr>
          <w:rFonts w:ascii="Verdana" w:hAnsi="Verdana"/>
          <w:b/>
        </w:rPr>
      </w:pPr>
      <w:r w:rsidRPr="004C2E37">
        <w:rPr>
          <w:rFonts w:ascii="Verdana" w:hAnsi="Verdana"/>
          <w:b/>
        </w:rPr>
        <w:t xml:space="preserve">Resumen del Plan Estratégico  </w:t>
      </w:r>
    </w:p>
    <w:p w:rsidR="00E276E5" w:rsidRDefault="002D1217" w:rsidP="00D2497C">
      <w:pPr>
        <w:spacing w:line="360" w:lineRule="auto"/>
        <w:jc w:val="both"/>
        <w:rPr>
          <w:rFonts w:ascii="Verdana" w:hAnsi="Verdana"/>
        </w:rPr>
      </w:pPr>
      <w:r>
        <w:rPr>
          <w:rFonts w:ascii="Verdana" w:hAnsi="Verdana"/>
        </w:rPr>
        <w:t>A continuación se consigna e</w:t>
      </w:r>
      <w:r w:rsidR="00E276E5" w:rsidRPr="00E276E5">
        <w:rPr>
          <w:rFonts w:ascii="Verdana" w:hAnsi="Verdana"/>
        </w:rPr>
        <w:t>l resumen ejecutivo del Plan Estratégico Institucional del Colegio Universitario de Cartago (CUC) 2</w:t>
      </w:r>
      <w:r>
        <w:rPr>
          <w:rFonts w:ascii="Verdana" w:hAnsi="Verdana"/>
        </w:rPr>
        <w:t>018-2023</w:t>
      </w:r>
      <w:r w:rsidR="00E276E5" w:rsidRPr="00E276E5">
        <w:rPr>
          <w:rFonts w:ascii="Verdana" w:hAnsi="Verdana"/>
        </w:rPr>
        <w:t>.</w:t>
      </w:r>
    </w:p>
    <w:p w:rsidR="004C2E37" w:rsidRDefault="004C2E37" w:rsidP="00D2497C">
      <w:pPr>
        <w:spacing w:line="360" w:lineRule="auto"/>
        <w:jc w:val="both"/>
        <w:rPr>
          <w:rFonts w:ascii="Verdana" w:hAnsi="Verdana"/>
        </w:rPr>
      </w:pPr>
    </w:p>
    <w:p w:rsidR="004C2E37" w:rsidRDefault="004C2E37" w:rsidP="00D2497C">
      <w:pPr>
        <w:spacing w:line="360" w:lineRule="auto"/>
        <w:jc w:val="both"/>
        <w:rPr>
          <w:rFonts w:ascii="Verdana" w:hAnsi="Verdana"/>
        </w:rPr>
      </w:pPr>
    </w:p>
    <w:p w:rsidR="004C2E37" w:rsidRDefault="004C2E37" w:rsidP="00D2497C">
      <w:pPr>
        <w:spacing w:line="360" w:lineRule="auto"/>
        <w:jc w:val="both"/>
        <w:rPr>
          <w:rFonts w:ascii="Verdana" w:hAnsi="Verdana"/>
        </w:rPr>
      </w:pPr>
    </w:p>
    <w:p w:rsidR="004C2E37" w:rsidRDefault="004C2E37" w:rsidP="00D2497C">
      <w:pPr>
        <w:spacing w:line="360" w:lineRule="auto"/>
        <w:jc w:val="both"/>
        <w:rPr>
          <w:rFonts w:ascii="Verdana" w:hAnsi="Verdana"/>
        </w:rPr>
      </w:pPr>
    </w:p>
    <w:p w:rsidR="004C2E37" w:rsidRDefault="004C2E37" w:rsidP="00D2497C">
      <w:pPr>
        <w:spacing w:line="360" w:lineRule="auto"/>
        <w:jc w:val="both"/>
        <w:rPr>
          <w:rFonts w:ascii="Verdana" w:hAnsi="Verdana"/>
        </w:rPr>
      </w:pPr>
      <w:r w:rsidRPr="00E276E5">
        <w:rPr>
          <w:rFonts w:ascii="Verdana" w:hAnsi="Verdana"/>
          <w:noProof/>
          <w:lang w:eastAsia="es-CR"/>
        </w:rPr>
        <w:drawing>
          <wp:inline distT="0" distB="0" distL="0" distR="0" wp14:anchorId="55593A96" wp14:editId="5B297671">
            <wp:extent cx="5486400" cy="4543425"/>
            <wp:effectExtent l="38100" t="0" r="57150" b="47625"/>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C2E37" w:rsidRDefault="004C2E37" w:rsidP="00D2497C">
      <w:pPr>
        <w:spacing w:line="360" w:lineRule="auto"/>
        <w:jc w:val="both"/>
        <w:rPr>
          <w:rFonts w:ascii="Verdana" w:hAnsi="Verdana"/>
        </w:rPr>
      </w:pPr>
    </w:p>
    <w:p w:rsidR="00E276E5" w:rsidRPr="00E276E5" w:rsidRDefault="00E276E5" w:rsidP="00E276E5">
      <w:pPr>
        <w:pStyle w:val="Prrafodelista"/>
        <w:rPr>
          <w:rFonts w:ascii="Verdana" w:hAnsi="Verdana"/>
        </w:rPr>
      </w:pPr>
    </w:p>
    <w:p w:rsidR="006E729B" w:rsidRDefault="006E729B" w:rsidP="004C2E37">
      <w:pPr>
        <w:pStyle w:val="Prrafodelista"/>
        <w:numPr>
          <w:ilvl w:val="1"/>
          <w:numId w:val="7"/>
        </w:numPr>
        <w:rPr>
          <w:rFonts w:ascii="Verdana" w:hAnsi="Verdana"/>
        </w:rPr>
      </w:pPr>
      <w:r w:rsidRPr="00953A2A">
        <w:rPr>
          <w:rFonts w:ascii="Verdana" w:hAnsi="Verdana"/>
          <w:b/>
        </w:rPr>
        <w:t xml:space="preserve">Enlace entre el Plan Estratégico y </w:t>
      </w:r>
      <w:r w:rsidR="00AE5495" w:rsidRPr="00953A2A">
        <w:rPr>
          <w:rFonts w:ascii="Verdana" w:hAnsi="Verdana"/>
          <w:b/>
        </w:rPr>
        <w:t xml:space="preserve">la </w:t>
      </w:r>
      <w:r w:rsidR="00E276E5" w:rsidRPr="00953A2A">
        <w:rPr>
          <w:rFonts w:ascii="Verdana" w:hAnsi="Verdana"/>
          <w:b/>
        </w:rPr>
        <w:t xml:space="preserve">elaboración de los Planes </w:t>
      </w:r>
      <w:r w:rsidR="004C2E37" w:rsidRPr="00953A2A">
        <w:rPr>
          <w:rFonts w:ascii="Verdana" w:hAnsi="Verdana"/>
          <w:b/>
        </w:rPr>
        <w:t>Anuales del</w:t>
      </w:r>
      <w:r w:rsidR="00AE5495" w:rsidRPr="00953A2A">
        <w:rPr>
          <w:rFonts w:ascii="Verdana" w:hAnsi="Verdana"/>
          <w:b/>
        </w:rPr>
        <w:t xml:space="preserve"> Consejo Directivo del CUC</w:t>
      </w:r>
      <w:r w:rsidR="00AE5495">
        <w:rPr>
          <w:rFonts w:ascii="Verdana" w:hAnsi="Verdana"/>
        </w:rPr>
        <w:t xml:space="preserve">. </w:t>
      </w:r>
    </w:p>
    <w:p w:rsidR="004C2E37" w:rsidRDefault="004C2E37" w:rsidP="004C2E37">
      <w:pPr>
        <w:pStyle w:val="Prrafodelista"/>
        <w:ind w:left="1800"/>
        <w:rPr>
          <w:rFonts w:ascii="Verdana" w:hAnsi="Verdana"/>
        </w:rPr>
      </w:pPr>
    </w:p>
    <w:p w:rsidR="00CF6D67" w:rsidRDefault="00CF6D67" w:rsidP="00AE5495">
      <w:pPr>
        <w:jc w:val="both"/>
        <w:rPr>
          <w:rFonts w:ascii="Verdana" w:hAnsi="Verdana"/>
        </w:rPr>
      </w:pPr>
      <w:r>
        <w:rPr>
          <w:rFonts w:ascii="Verdana" w:hAnsi="Verdana"/>
        </w:rPr>
        <w:t>El Consejo Directivo desarrolló los Planes Anuales de Trabajo estrechamente vinculados c</w:t>
      </w:r>
      <w:r w:rsidR="00E276E5">
        <w:rPr>
          <w:rFonts w:ascii="Verdana" w:hAnsi="Verdana"/>
        </w:rPr>
        <w:t xml:space="preserve">on base en los Objetivos Estratégicos </w:t>
      </w:r>
      <w:r w:rsidR="00D2497C">
        <w:rPr>
          <w:rFonts w:ascii="Verdana" w:hAnsi="Verdana"/>
        </w:rPr>
        <w:t>institucionales</w:t>
      </w:r>
      <w:r w:rsidR="004C2E37">
        <w:rPr>
          <w:rFonts w:ascii="Verdana" w:hAnsi="Verdana"/>
        </w:rPr>
        <w:t>, emanados</w:t>
      </w:r>
      <w:r w:rsidR="00D2497C">
        <w:rPr>
          <w:rFonts w:ascii="Verdana" w:hAnsi="Verdana"/>
        </w:rPr>
        <w:t xml:space="preserve"> en el Plan Estratégico 2018-2023</w:t>
      </w:r>
      <w:r w:rsidR="00AE5495">
        <w:rPr>
          <w:rFonts w:ascii="Verdana" w:hAnsi="Verdana"/>
        </w:rPr>
        <w:t xml:space="preserve">. </w:t>
      </w:r>
    </w:p>
    <w:p w:rsidR="004C2E37" w:rsidRDefault="004C2E37" w:rsidP="00AE5495">
      <w:pPr>
        <w:jc w:val="both"/>
        <w:rPr>
          <w:rFonts w:ascii="Verdana" w:hAnsi="Verdana"/>
        </w:rPr>
      </w:pPr>
    </w:p>
    <w:p w:rsidR="00E276E5" w:rsidRDefault="00CF6D67" w:rsidP="00AE5495">
      <w:pPr>
        <w:jc w:val="both"/>
        <w:rPr>
          <w:rFonts w:ascii="Verdana" w:hAnsi="Verdana"/>
        </w:rPr>
      </w:pPr>
      <w:r>
        <w:rPr>
          <w:rFonts w:ascii="Verdana" w:hAnsi="Verdana"/>
        </w:rPr>
        <w:t xml:space="preserve">Por medio de este </w:t>
      </w:r>
      <w:r w:rsidR="00DB7DB6">
        <w:rPr>
          <w:rFonts w:ascii="Verdana" w:hAnsi="Verdana"/>
        </w:rPr>
        <w:t>documento la comunidad institucional y las autoridades tendrán a mano la guía de planificación del Consejo Directivo para los años 2019</w:t>
      </w:r>
      <w:r>
        <w:rPr>
          <w:rFonts w:ascii="Verdana" w:hAnsi="Verdana"/>
        </w:rPr>
        <w:t>-</w:t>
      </w:r>
      <w:r w:rsidR="00DB7DB6">
        <w:rPr>
          <w:rFonts w:ascii="Verdana" w:hAnsi="Verdana"/>
        </w:rPr>
        <w:t xml:space="preserve"> 2021. </w:t>
      </w:r>
    </w:p>
    <w:p w:rsidR="00DB7DB6" w:rsidRDefault="008049E8" w:rsidP="00AE5495">
      <w:pPr>
        <w:jc w:val="both"/>
        <w:rPr>
          <w:rFonts w:ascii="Verdana" w:hAnsi="Verdana"/>
        </w:rPr>
      </w:pPr>
      <w:r>
        <w:rPr>
          <w:rFonts w:ascii="Verdana" w:hAnsi="Verdana"/>
        </w:rPr>
        <w:t>Los ejes</w:t>
      </w:r>
      <w:r w:rsidR="00CF6D67">
        <w:rPr>
          <w:rFonts w:ascii="Verdana" w:hAnsi="Verdana"/>
        </w:rPr>
        <w:t xml:space="preserve"> tomado</w:t>
      </w:r>
      <w:r w:rsidR="00DB7DB6">
        <w:rPr>
          <w:rFonts w:ascii="Verdana" w:hAnsi="Verdana"/>
        </w:rPr>
        <w:t xml:space="preserve">s en cuenta son: </w:t>
      </w:r>
    </w:p>
    <w:p w:rsidR="00DB7DB6" w:rsidRPr="00BC3B85" w:rsidRDefault="008F0770" w:rsidP="00BC3B85">
      <w:pPr>
        <w:pStyle w:val="Prrafodelista"/>
        <w:numPr>
          <w:ilvl w:val="0"/>
          <w:numId w:val="2"/>
        </w:numPr>
        <w:jc w:val="both"/>
        <w:rPr>
          <w:rFonts w:ascii="Verdana" w:hAnsi="Verdana"/>
        </w:rPr>
      </w:pPr>
      <w:r>
        <w:rPr>
          <w:rFonts w:ascii="Verdana" w:hAnsi="Verdana"/>
        </w:rPr>
        <w:t>Mejora continua: oferta académica</w:t>
      </w:r>
      <w:r w:rsidR="008049E8">
        <w:rPr>
          <w:rFonts w:ascii="Verdana" w:hAnsi="Verdana"/>
        </w:rPr>
        <w:t>.</w:t>
      </w:r>
      <w:r>
        <w:rPr>
          <w:rFonts w:ascii="Verdana" w:hAnsi="Verdana"/>
        </w:rPr>
        <w:t xml:space="preserve"> </w:t>
      </w:r>
    </w:p>
    <w:p w:rsidR="008F0770" w:rsidRDefault="008F0770" w:rsidP="004331AD">
      <w:pPr>
        <w:pStyle w:val="Prrafodelista"/>
        <w:numPr>
          <w:ilvl w:val="0"/>
          <w:numId w:val="2"/>
        </w:numPr>
        <w:jc w:val="both"/>
        <w:rPr>
          <w:rFonts w:ascii="Verdana" w:hAnsi="Verdana"/>
        </w:rPr>
      </w:pPr>
      <w:r w:rsidRPr="008F0770">
        <w:rPr>
          <w:rFonts w:ascii="Verdana" w:hAnsi="Verdana"/>
        </w:rPr>
        <w:t>Gestión de la Calidad</w:t>
      </w:r>
      <w:r w:rsidR="001B57AE">
        <w:rPr>
          <w:rFonts w:ascii="Verdana" w:hAnsi="Verdana"/>
        </w:rPr>
        <w:t xml:space="preserve">: </w:t>
      </w:r>
      <w:r w:rsidRPr="008F0770">
        <w:rPr>
          <w:rFonts w:ascii="Verdana" w:hAnsi="Verdana"/>
        </w:rPr>
        <w:t>investigación</w:t>
      </w:r>
      <w:r w:rsidR="001B57AE">
        <w:rPr>
          <w:rFonts w:ascii="Verdana" w:hAnsi="Verdana"/>
        </w:rPr>
        <w:t xml:space="preserve">, </w:t>
      </w:r>
      <w:r w:rsidRPr="008F0770">
        <w:rPr>
          <w:rFonts w:ascii="Verdana" w:hAnsi="Verdana"/>
        </w:rPr>
        <w:t>extensión</w:t>
      </w:r>
      <w:r w:rsidR="001B57AE">
        <w:rPr>
          <w:rFonts w:ascii="Verdana" w:hAnsi="Verdana"/>
        </w:rPr>
        <w:t xml:space="preserve">, </w:t>
      </w:r>
      <w:r>
        <w:rPr>
          <w:rFonts w:ascii="Verdana" w:hAnsi="Verdana"/>
        </w:rPr>
        <w:t>aprobación de presupuesto</w:t>
      </w:r>
      <w:r w:rsidR="001B57AE">
        <w:rPr>
          <w:rFonts w:ascii="Verdana" w:hAnsi="Verdana"/>
        </w:rPr>
        <w:t xml:space="preserve">, infraestructura, </w:t>
      </w:r>
      <w:r w:rsidR="008049E8">
        <w:rPr>
          <w:rFonts w:ascii="Verdana" w:hAnsi="Verdana"/>
        </w:rPr>
        <w:t>reglamentos</w:t>
      </w:r>
      <w:r w:rsidR="001B57AE">
        <w:rPr>
          <w:rFonts w:ascii="Verdana" w:hAnsi="Verdana"/>
        </w:rPr>
        <w:t xml:space="preserve"> y mejora continua</w:t>
      </w:r>
      <w:r>
        <w:rPr>
          <w:rFonts w:ascii="Verdana" w:hAnsi="Verdana"/>
        </w:rPr>
        <w:t xml:space="preserve">. </w:t>
      </w:r>
    </w:p>
    <w:p w:rsidR="00DB7DB6" w:rsidRDefault="008049E8" w:rsidP="004331AD">
      <w:pPr>
        <w:pStyle w:val="Prrafodelista"/>
        <w:numPr>
          <w:ilvl w:val="0"/>
          <w:numId w:val="2"/>
        </w:numPr>
        <w:jc w:val="both"/>
        <w:rPr>
          <w:rFonts w:ascii="Verdana" w:hAnsi="Verdana"/>
        </w:rPr>
      </w:pPr>
      <w:r>
        <w:rPr>
          <w:rFonts w:ascii="Verdana" w:hAnsi="Verdana"/>
        </w:rPr>
        <w:t>Desarrollo del Personal</w:t>
      </w:r>
      <w:r w:rsidR="00BC3B85" w:rsidRPr="008F0770">
        <w:rPr>
          <w:rFonts w:ascii="Verdana" w:hAnsi="Verdana"/>
        </w:rPr>
        <w:t xml:space="preserve">: </w:t>
      </w:r>
      <w:r w:rsidR="001B57AE">
        <w:rPr>
          <w:rFonts w:ascii="Verdana" w:hAnsi="Verdana"/>
        </w:rPr>
        <w:t>talentos y capacidades</w:t>
      </w:r>
      <w:r w:rsidR="008F0770">
        <w:rPr>
          <w:rFonts w:ascii="Verdana" w:hAnsi="Verdana"/>
        </w:rPr>
        <w:t xml:space="preserve">. </w:t>
      </w:r>
    </w:p>
    <w:p w:rsidR="006E729B" w:rsidRPr="006B0BC9" w:rsidRDefault="006E729B" w:rsidP="004C2E37">
      <w:pPr>
        <w:pStyle w:val="Ttulo1"/>
        <w:numPr>
          <w:ilvl w:val="0"/>
          <w:numId w:val="6"/>
        </w:numPr>
      </w:pPr>
      <w:bookmarkStart w:id="2" w:name="_Toc532981441"/>
      <w:r w:rsidRPr="006B0BC9">
        <w:rPr>
          <w:rFonts w:ascii="Verdana" w:eastAsiaTheme="minorHAnsi" w:hAnsi="Verdana" w:cstheme="minorBidi"/>
          <w:bCs w:val="0"/>
          <w:color w:val="auto"/>
          <w:sz w:val="22"/>
          <w:szCs w:val="22"/>
        </w:rPr>
        <w:t>Factores críticos del éxito</w:t>
      </w:r>
      <w:r w:rsidRPr="006B0BC9">
        <w:t>.</w:t>
      </w:r>
      <w:bookmarkEnd w:id="2"/>
    </w:p>
    <w:p w:rsidR="001B57AE" w:rsidRDefault="001B57AE" w:rsidP="00220F47">
      <w:pPr>
        <w:pStyle w:val="Prrafodelista"/>
        <w:ind w:left="1440"/>
        <w:rPr>
          <w:rFonts w:ascii="Verdana" w:hAnsi="Verdana"/>
        </w:rPr>
      </w:pPr>
    </w:p>
    <w:p w:rsidR="00220F47" w:rsidRPr="00220F47" w:rsidRDefault="00BC3B85" w:rsidP="006758BD">
      <w:pPr>
        <w:pStyle w:val="Prrafodelista"/>
        <w:numPr>
          <w:ilvl w:val="0"/>
          <w:numId w:val="3"/>
        </w:numPr>
        <w:jc w:val="both"/>
        <w:rPr>
          <w:rFonts w:ascii="Verdana" w:hAnsi="Verdana"/>
          <w:b/>
          <w:i/>
        </w:rPr>
      </w:pPr>
      <w:r w:rsidRPr="00220F47">
        <w:rPr>
          <w:rFonts w:ascii="Verdana" w:hAnsi="Verdana"/>
          <w:b/>
          <w:i/>
        </w:rPr>
        <w:t>Oferta Académica:</w:t>
      </w:r>
      <w:r w:rsidRPr="00220F47">
        <w:rPr>
          <w:rFonts w:ascii="Verdana" w:hAnsi="Verdana"/>
        </w:rPr>
        <w:t xml:space="preserve"> </w:t>
      </w:r>
      <w:r w:rsidR="00FB5AE8" w:rsidRPr="00220F47">
        <w:rPr>
          <w:rFonts w:ascii="Verdana" w:hAnsi="Verdana"/>
        </w:rPr>
        <w:t>Son</w:t>
      </w:r>
      <w:r w:rsidR="006758BD" w:rsidRPr="00220F47">
        <w:rPr>
          <w:rFonts w:ascii="Verdana" w:hAnsi="Verdana"/>
        </w:rPr>
        <w:t xml:space="preserve"> las carreras y programas técnicos que actualmente se imparten en</w:t>
      </w:r>
      <w:r w:rsidR="001B57AE">
        <w:rPr>
          <w:rFonts w:ascii="Verdana" w:hAnsi="Verdana"/>
        </w:rPr>
        <w:t xml:space="preserve"> el CUC, así como las ofertas</w:t>
      </w:r>
      <w:r w:rsidR="006758BD" w:rsidRPr="00220F47">
        <w:rPr>
          <w:rFonts w:ascii="Verdana" w:hAnsi="Verdana"/>
        </w:rPr>
        <w:t xml:space="preserve"> que nos</w:t>
      </w:r>
      <w:r w:rsidR="00FB5AE8" w:rsidRPr="00220F47">
        <w:rPr>
          <w:rFonts w:ascii="Verdana" w:hAnsi="Verdana"/>
        </w:rPr>
        <w:t xml:space="preserve"> propongamos </w:t>
      </w:r>
      <w:r w:rsidR="006758BD" w:rsidRPr="00220F47">
        <w:rPr>
          <w:rFonts w:ascii="Verdana" w:hAnsi="Verdana"/>
        </w:rPr>
        <w:t>implementar</w:t>
      </w:r>
      <w:r w:rsidR="001B57AE">
        <w:rPr>
          <w:rFonts w:ascii="Verdana" w:hAnsi="Verdana"/>
        </w:rPr>
        <w:t xml:space="preserve">, </w:t>
      </w:r>
      <w:r w:rsidR="006758BD" w:rsidRPr="00220F47">
        <w:rPr>
          <w:rFonts w:ascii="Verdana" w:hAnsi="Verdana"/>
        </w:rPr>
        <w:t>tomando en cuenta las necesidades del mercado, investigación</w:t>
      </w:r>
      <w:r w:rsidR="00FB5AE8" w:rsidRPr="00220F47">
        <w:rPr>
          <w:rFonts w:ascii="Verdana" w:hAnsi="Verdana"/>
        </w:rPr>
        <w:t xml:space="preserve"> </w:t>
      </w:r>
      <w:r w:rsidR="006758BD" w:rsidRPr="00220F47">
        <w:rPr>
          <w:rFonts w:ascii="Verdana" w:hAnsi="Verdana"/>
        </w:rPr>
        <w:t xml:space="preserve">y disponibilidad de recursos institucionales. </w:t>
      </w:r>
      <w:r w:rsidR="001B57AE">
        <w:rPr>
          <w:rFonts w:ascii="Verdana" w:hAnsi="Verdana"/>
        </w:rPr>
        <w:t>D</w:t>
      </w:r>
      <w:r w:rsidR="00FB5AE8" w:rsidRPr="00220F47">
        <w:rPr>
          <w:rFonts w:ascii="Verdana" w:hAnsi="Verdana"/>
        </w:rPr>
        <w:t xml:space="preserve">entro de la oferta académica estamos incluyendo la venta o prestación de servicios </w:t>
      </w:r>
      <w:r w:rsidR="00C644BD" w:rsidRPr="00220F47">
        <w:rPr>
          <w:rFonts w:ascii="Verdana" w:hAnsi="Verdana"/>
        </w:rPr>
        <w:t xml:space="preserve">y post servicios </w:t>
      </w:r>
      <w:r w:rsidR="00FB5AE8" w:rsidRPr="00220F47">
        <w:rPr>
          <w:rFonts w:ascii="Verdana" w:hAnsi="Verdana"/>
        </w:rPr>
        <w:t>dirigido</w:t>
      </w:r>
      <w:r w:rsidR="001B57AE">
        <w:rPr>
          <w:rFonts w:ascii="Verdana" w:hAnsi="Verdana"/>
        </w:rPr>
        <w:t>s</w:t>
      </w:r>
      <w:r w:rsidR="00FB5AE8" w:rsidRPr="00220F47">
        <w:rPr>
          <w:rFonts w:ascii="Verdana" w:hAnsi="Verdana"/>
        </w:rPr>
        <w:t xml:space="preserve"> a los egresados, empresarios, </w:t>
      </w:r>
      <w:r w:rsidR="001B57AE">
        <w:rPr>
          <w:rFonts w:ascii="Verdana" w:hAnsi="Verdana"/>
        </w:rPr>
        <w:t>a</w:t>
      </w:r>
      <w:r w:rsidR="00FB5AE8" w:rsidRPr="00220F47">
        <w:rPr>
          <w:rFonts w:ascii="Verdana" w:hAnsi="Verdana"/>
        </w:rPr>
        <w:t xml:space="preserve">l sector productivo y algún otro que lo requiera. </w:t>
      </w:r>
    </w:p>
    <w:p w:rsidR="00220F47" w:rsidRPr="00220F47" w:rsidRDefault="00220F47" w:rsidP="00220F47">
      <w:pPr>
        <w:pStyle w:val="Prrafodelista"/>
        <w:jc w:val="both"/>
        <w:rPr>
          <w:rFonts w:ascii="Verdana" w:hAnsi="Verdana"/>
          <w:b/>
          <w:i/>
        </w:rPr>
      </w:pPr>
    </w:p>
    <w:p w:rsidR="00220F47" w:rsidRPr="00220F47" w:rsidRDefault="00220F47" w:rsidP="00220F47">
      <w:pPr>
        <w:pStyle w:val="Prrafodelista"/>
        <w:numPr>
          <w:ilvl w:val="0"/>
          <w:numId w:val="3"/>
        </w:numPr>
        <w:jc w:val="both"/>
        <w:rPr>
          <w:rFonts w:ascii="Verdana" w:hAnsi="Verdana"/>
          <w:b/>
          <w:i/>
        </w:rPr>
      </w:pPr>
      <w:r w:rsidRPr="00220F47">
        <w:rPr>
          <w:rFonts w:ascii="Verdana" w:hAnsi="Verdana"/>
          <w:b/>
          <w:i/>
        </w:rPr>
        <w:t>Investigación y extensión:</w:t>
      </w:r>
      <w:r w:rsidRPr="00220F47">
        <w:rPr>
          <w:rFonts w:ascii="Verdana" w:hAnsi="Verdana"/>
        </w:rPr>
        <w:t xml:space="preserve"> El Consejo Directivo est</w:t>
      </w:r>
      <w:r w:rsidR="00684BEF">
        <w:rPr>
          <w:rFonts w:ascii="Verdana" w:hAnsi="Verdana"/>
        </w:rPr>
        <w:t>ar</w:t>
      </w:r>
      <w:r w:rsidRPr="00220F47">
        <w:rPr>
          <w:rFonts w:ascii="Verdana" w:hAnsi="Verdana"/>
        </w:rPr>
        <w:t>á generando las directrices relacionadas con la investigación formal institucional</w:t>
      </w:r>
      <w:r w:rsidR="00684BEF">
        <w:rPr>
          <w:rFonts w:ascii="Verdana" w:hAnsi="Verdana"/>
        </w:rPr>
        <w:t xml:space="preserve">, </w:t>
      </w:r>
      <w:r w:rsidRPr="00220F47">
        <w:rPr>
          <w:rFonts w:ascii="Verdana" w:hAnsi="Verdana"/>
        </w:rPr>
        <w:t xml:space="preserve"> en temas </w:t>
      </w:r>
      <w:r w:rsidR="00684BEF">
        <w:rPr>
          <w:rFonts w:ascii="Verdana" w:hAnsi="Verdana"/>
        </w:rPr>
        <w:t xml:space="preserve">de afinidad </w:t>
      </w:r>
      <w:r w:rsidR="00DF068F">
        <w:rPr>
          <w:rFonts w:ascii="Verdana" w:hAnsi="Verdana"/>
        </w:rPr>
        <w:t xml:space="preserve">para el </w:t>
      </w:r>
      <w:r w:rsidR="00684BEF">
        <w:rPr>
          <w:rFonts w:ascii="Verdana" w:hAnsi="Verdana"/>
        </w:rPr>
        <w:t xml:space="preserve"> desarrollo académico</w:t>
      </w:r>
      <w:r w:rsidR="00DF068F">
        <w:rPr>
          <w:rFonts w:ascii="Verdana" w:hAnsi="Verdana"/>
        </w:rPr>
        <w:t xml:space="preserve">, </w:t>
      </w:r>
      <w:r w:rsidR="00571FD6">
        <w:rPr>
          <w:rFonts w:ascii="Verdana" w:hAnsi="Verdana"/>
        </w:rPr>
        <w:t>del conocimiento y lograr su transferencia</w:t>
      </w:r>
      <w:r w:rsidRPr="00220F47">
        <w:rPr>
          <w:rFonts w:ascii="Verdana" w:hAnsi="Verdana"/>
        </w:rPr>
        <w:t xml:space="preserve"> al país </w:t>
      </w:r>
      <w:r w:rsidR="00DF068F">
        <w:rPr>
          <w:rFonts w:ascii="Verdana" w:hAnsi="Verdana"/>
        </w:rPr>
        <w:t>a través</w:t>
      </w:r>
      <w:r w:rsidR="00571FD6">
        <w:rPr>
          <w:rFonts w:ascii="Verdana" w:hAnsi="Verdana"/>
        </w:rPr>
        <w:t xml:space="preserve"> de</w:t>
      </w:r>
      <w:r w:rsidR="00DF068F">
        <w:rPr>
          <w:rFonts w:ascii="Verdana" w:hAnsi="Verdana"/>
        </w:rPr>
        <w:t>:</w:t>
      </w:r>
      <w:r w:rsidR="00571FD6">
        <w:rPr>
          <w:rFonts w:ascii="Verdana" w:hAnsi="Verdana"/>
        </w:rPr>
        <w:t xml:space="preserve"> acción social</w:t>
      </w:r>
      <w:r w:rsidR="00DF068F">
        <w:rPr>
          <w:rFonts w:ascii="Verdana" w:hAnsi="Verdana"/>
        </w:rPr>
        <w:t xml:space="preserve">, </w:t>
      </w:r>
      <w:r w:rsidRPr="00220F47">
        <w:rPr>
          <w:rFonts w:ascii="Verdana" w:hAnsi="Verdana"/>
        </w:rPr>
        <w:t xml:space="preserve"> publicaciones, seminarios u otros medios. </w:t>
      </w:r>
      <w:r w:rsidR="00FB5AE8" w:rsidRPr="00220F47">
        <w:rPr>
          <w:rFonts w:ascii="Verdana" w:hAnsi="Verdana"/>
        </w:rPr>
        <w:t xml:space="preserve"> </w:t>
      </w:r>
    </w:p>
    <w:p w:rsidR="00220F47" w:rsidRPr="00220F47" w:rsidRDefault="00220F47" w:rsidP="00220F47">
      <w:pPr>
        <w:pStyle w:val="Prrafodelista"/>
        <w:rPr>
          <w:rFonts w:ascii="Verdana" w:hAnsi="Verdana"/>
          <w:b/>
          <w:i/>
        </w:rPr>
      </w:pPr>
    </w:p>
    <w:p w:rsidR="00220F47" w:rsidRPr="00220F47" w:rsidRDefault="00220F47" w:rsidP="00220F47">
      <w:pPr>
        <w:pStyle w:val="Prrafodelista"/>
        <w:jc w:val="both"/>
        <w:rPr>
          <w:rFonts w:ascii="Verdana" w:hAnsi="Verdana"/>
          <w:b/>
          <w:i/>
        </w:rPr>
      </w:pPr>
    </w:p>
    <w:p w:rsidR="00220F47" w:rsidRDefault="00220F47" w:rsidP="002F2BF2">
      <w:pPr>
        <w:pStyle w:val="Prrafodelista"/>
        <w:numPr>
          <w:ilvl w:val="0"/>
          <w:numId w:val="3"/>
        </w:numPr>
        <w:jc w:val="both"/>
        <w:rPr>
          <w:rFonts w:ascii="Verdana" w:hAnsi="Verdana"/>
          <w:b/>
          <w:i/>
        </w:rPr>
      </w:pPr>
      <w:r w:rsidRPr="00220F47">
        <w:rPr>
          <w:rFonts w:ascii="Verdana" w:hAnsi="Verdana"/>
          <w:b/>
          <w:i/>
        </w:rPr>
        <w:t>Desarrollo de talentos y capacidades:</w:t>
      </w:r>
      <w:r w:rsidRPr="00220F47">
        <w:rPr>
          <w:rFonts w:ascii="Verdana" w:hAnsi="Verdana"/>
        </w:rPr>
        <w:t xml:space="preserve"> Proponer estudios que permitan la elaboración de  programas cognitivos y actitudinales con el fin de desarrollar las capacidades y talentos del recurso humano institucional</w:t>
      </w:r>
      <w:r>
        <w:rPr>
          <w:rFonts w:ascii="Verdana" w:hAnsi="Verdana"/>
        </w:rPr>
        <w:t>.</w:t>
      </w:r>
    </w:p>
    <w:p w:rsidR="00220F47" w:rsidRPr="00220F47" w:rsidRDefault="00220F47" w:rsidP="00220F47">
      <w:pPr>
        <w:pStyle w:val="Prrafodelista"/>
        <w:jc w:val="both"/>
        <w:rPr>
          <w:rFonts w:ascii="Verdana" w:hAnsi="Verdana"/>
          <w:b/>
          <w:i/>
        </w:rPr>
      </w:pPr>
    </w:p>
    <w:p w:rsidR="00A5537B" w:rsidRPr="00A5537B" w:rsidRDefault="002F2BF2" w:rsidP="00A5537B">
      <w:pPr>
        <w:pStyle w:val="Prrafodelista"/>
        <w:numPr>
          <w:ilvl w:val="0"/>
          <w:numId w:val="3"/>
        </w:numPr>
        <w:jc w:val="both"/>
        <w:rPr>
          <w:rFonts w:ascii="Verdana" w:hAnsi="Verdana"/>
          <w:b/>
          <w:i/>
        </w:rPr>
      </w:pPr>
      <w:r w:rsidRPr="00220F47">
        <w:rPr>
          <w:rFonts w:ascii="Verdana" w:hAnsi="Verdana"/>
          <w:b/>
          <w:i/>
        </w:rPr>
        <w:t>Mejora continua:</w:t>
      </w:r>
      <w:r w:rsidRPr="00220F47">
        <w:rPr>
          <w:rFonts w:ascii="Verdana" w:hAnsi="Verdana"/>
        </w:rPr>
        <w:t xml:space="preserve"> En la</w:t>
      </w:r>
      <w:r w:rsidRPr="00220F47">
        <w:rPr>
          <w:rFonts w:ascii="Verdana" w:hAnsi="Verdana"/>
          <w:color w:val="FF0000"/>
        </w:rPr>
        <w:t xml:space="preserve"> </w:t>
      </w:r>
      <w:r w:rsidRPr="00220F47">
        <w:rPr>
          <w:rFonts w:ascii="Verdana" w:hAnsi="Verdana"/>
        </w:rPr>
        <w:t>búsqueda de la excelencia</w:t>
      </w:r>
      <w:r w:rsidR="00A5537B">
        <w:rPr>
          <w:rFonts w:ascii="Verdana" w:hAnsi="Verdana"/>
        </w:rPr>
        <w:t>,</w:t>
      </w:r>
      <w:r w:rsidRPr="00220F47">
        <w:rPr>
          <w:rFonts w:ascii="Verdana" w:hAnsi="Verdana"/>
        </w:rPr>
        <w:t xml:space="preserve"> se contemplan aspectos tales como</w:t>
      </w:r>
      <w:r w:rsidR="00A5537B">
        <w:rPr>
          <w:rFonts w:ascii="Verdana" w:hAnsi="Verdana"/>
        </w:rPr>
        <w:t>:</w:t>
      </w:r>
      <w:r w:rsidRPr="00220F47">
        <w:rPr>
          <w:rFonts w:ascii="Verdana" w:hAnsi="Verdana"/>
        </w:rPr>
        <w:t xml:space="preserve"> el mejoramiento continuo de las opciones educativas del personal institucional, de</w:t>
      </w:r>
      <w:r w:rsidR="00A5537B">
        <w:rPr>
          <w:rFonts w:ascii="Verdana" w:hAnsi="Verdana"/>
        </w:rPr>
        <w:t xml:space="preserve"> los procesos organizacionales </w:t>
      </w:r>
      <w:r w:rsidRPr="00220F47">
        <w:rPr>
          <w:rFonts w:ascii="Verdana" w:hAnsi="Verdana"/>
        </w:rPr>
        <w:t>que sean pertinente</w:t>
      </w:r>
      <w:r w:rsidR="00220F47">
        <w:rPr>
          <w:rFonts w:ascii="Verdana" w:hAnsi="Verdana"/>
        </w:rPr>
        <w:t>s con la exigencia del mercado</w:t>
      </w:r>
      <w:r w:rsidR="00A5537B">
        <w:rPr>
          <w:rFonts w:ascii="Verdana" w:hAnsi="Verdana"/>
        </w:rPr>
        <w:t>.</w:t>
      </w:r>
    </w:p>
    <w:p w:rsidR="00A5537B" w:rsidRPr="00A5537B" w:rsidRDefault="00A5537B" w:rsidP="00A5537B">
      <w:pPr>
        <w:pStyle w:val="Prrafodelista"/>
        <w:rPr>
          <w:rFonts w:ascii="Verdana" w:hAnsi="Verdana"/>
        </w:rPr>
      </w:pPr>
    </w:p>
    <w:p w:rsidR="00A5537B" w:rsidRPr="00A5537B" w:rsidRDefault="00A5537B" w:rsidP="00A5537B">
      <w:pPr>
        <w:ind w:firstLine="360"/>
        <w:jc w:val="both"/>
        <w:rPr>
          <w:rFonts w:ascii="Verdana" w:hAnsi="Verdana"/>
          <w:b/>
          <w:i/>
        </w:rPr>
      </w:pPr>
      <w:r>
        <w:rPr>
          <w:rFonts w:ascii="Verdana" w:hAnsi="Verdana"/>
        </w:rPr>
        <w:t>A</w:t>
      </w:r>
      <w:r w:rsidR="00220F47" w:rsidRPr="00A5537B">
        <w:rPr>
          <w:rFonts w:ascii="Verdana" w:hAnsi="Verdana"/>
        </w:rPr>
        <w:t>spectos</w:t>
      </w:r>
      <w:r>
        <w:rPr>
          <w:rFonts w:ascii="Verdana" w:hAnsi="Verdana"/>
        </w:rPr>
        <w:t xml:space="preserve"> sobre los cuales se trabajará</w:t>
      </w:r>
      <w:r w:rsidR="00220F47" w:rsidRPr="00A5537B">
        <w:rPr>
          <w:rFonts w:ascii="Verdana" w:hAnsi="Verdana"/>
        </w:rPr>
        <w:t>:</w:t>
      </w:r>
      <w:r w:rsidR="00220F47" w:rsidRPr="00A5537B">
        <w:rPr>
          <w:rFonts w:ascii="Verdana" w:hAnsi="Verdana"/>
          <w:b/>
          <w:i/>
        </w:rPr>
        <w:t xml:space="preserve"> </w:t>
      </w:r>
    </w:p>
    <w:p w:rsidR="00220F47" w:rsidRPr="00676D43" w:rsidRDefault="00220F47" w:rsidP="00676D43">
      <w:pPr>
        <w:pStyle w:val="Prrafodelista"/>
        <w:numPr>
          <w:ilvl w:val="0"/>
          <w:numId w:val="4"/>
        </w:numPr>
        <w:jc w:val="both"/>
        <w:rPr>
          <w:rFonts w:ascii="Verdana" w:hAnsi="Verdana"/>
        </w:rPr>
      </w:pPr>
      <w:r w:rsidRPr="00676D43">
        <w:rPr>
          <w:rFonts w:ascii="Verdana" w:hAnsi="Verdana"/>
          <w:b/>
          <w:sz w:val="20"/>
        </w:rPr>
        <w:t>Infraestructura:</w:t>
      </w:r>
      <w:r w:rsidRPr="00676D43">
        <w:rPr>
          <w:rFonts w:ascii="Verdana" w:hAnsi="Verdana"/>
        </w:rPr>
        <w:t xml:space="preserve"> </w:t>
      </w:r>
      <w:r w:rsidR="00E72752">
        <w:rPr>
          <w:rFonts w:ascii="Verdana" w:hAnsi="Verdana"/>
        </w:rPr>
        <w:t>E</w:t>
      </w:r>
      <w:r w:rsidRPr="00676D43">
        <w:rPr>
          <w:rFonts w:ascii="Verdana" w:hAnsi="Verdana"/>
        </w:rPr>
        <w:t>dificaciones de aulas, laboratorios, residencias</w:t>
      </w:r>
      <w:r w:rsidR="00E72752">
        <w:rPr>
          <w:rFonts w:ascii="Verdana" w:hAnsi="Verdana"/>
        </w:rPr>
        <w:t xml:space="preserve"> estudiantiles, edificios administrativos, infraestructura tecnológica </w:t>
      </w:r>
      <w:r w:rsidRPr="00676D43">
        <w:rPr>
          <w:rFonts w:ascii="Verdana" w:hAnsi="Verdana"/>
        </w:rPr>
        <w:t>y otros</w:t>
      </w:r>
      <w:r w:rsidR="00E72752">
        <w:rPr>
          <w:rFonts w:ascii="Verdana" w:hAnsi="Verdana"/>
        </w:rPr>
        <w:t>, de conformidad con el Plan de Inversión Plurianual</w:t>
      </w:r>
      <w:r w:rsidRPr="00676D43">
        <w:rPr>
          <w:rFonts w:ascii="Verdana" w:hAnsi="Verdana"/>
        </w:rPr>
        <w:t>.</w:t>
      </w:r>
    </w:p>
    <w:p w:rsidR="002F2BF2" w:rsidRDefault="002F2BF2" w:rsidP="00676D43">
      <w:pPr>
        <w:pStyle w:val="Prrafodelista"/>
        <w:numPr>
          <w:ilvl w:val="0"/>
          <w:numId w:val="4"/>
        </w:numPr>
        <w:jc w:val="both"/>
        <w:rPr>
          <w:rFonts w:ascii="Verdana" w:hAnsi="Verdana"/>
        </w:rPr>
      </w:pPr>
      <w:r w:rsidRPr="00676D43">
        <w:rPr>
          <w:rFonts w:ascii="Verdana" w:hAnsi="Verdana"/>
          <w:b/>
          <w:sz w:val="20"/>
        </w:rPr>
        <w:t>Aprobación de presupuestos:</w:t>
      </w:r>
      <w:r w:rsidRPr="00676D43">
        <w:rPr>
          <w:rFonts w:ascii="Verdana" w:hAnsi="Verdana"/>
        </w:rPr>
        <w:t xml:space="preserve"> Proponer políticas que orienten los procesos </w:t>
      </w:r>
      <w:r w:rsidR="00E72752">
        <w:rPr>
          <w:rFonts w:ascii="Verdana" w:hAnsi="Verdana"/>
        </w:rPr>
        <w:t xml:space="preserve">de </w:t>
      </w:r>
      <w:r w:rsidR="00356B58">
        <w:rPr>
          <w:rFonts w:ascii="Verdana" w:hAnsi="Verdana"/>
        </w:rPr>
        <w:t>ejecuciones presupuestarias ordinarias, extraordinarias</w:t>
      </w:r>
      <w:r w:rsidRPr="00676D43">
        <w:rPr>
          <w:rFonts w:ascii="Verdana" w:hAnsi="Verdana"/>
        </w:rPr>
        <w:t xml:space="preserve"> y modificaciones.</w:t>
      </w:r>
    </w:p>
    <w:p w:rsidR="004C2E37" w:rsidRPr="00676D43" w:rsidRDefault="004C2E37" w:rsidP="004C2E37">
      <w:pPr>
        <w:pStyle w:val="Prrafodelista"/>
        <w:jc w:val="both"/>
        <w:rPr>
          <w:rFonts w:ascii="Verdana" w:hAnsi="Verdana"/>
        </w:rPr>
      </w:pPr>
    </w:p>
    <w:p w:rsidR="00A53222" w:rsidRDefault="00A53222" w:rsidP="00676D43">
      <w:pPr>
        <w:pStyle w:val="Prrafodelista"/>
        <w:numPr>
          <w:ilvl w:val="0"/>
          <w:numId w:val="4"/>
        </w:numPr>
        <w:jc w:val="both"/>
        <w:rPr>
          <w:rFonts w:ascii="Verdana" w:hAnsi="Verdana"/>
        </w:rPr>
      </w:pPr>
      <w:r w:rsidRPr="00676D43">
        <w:rPr>
          <w:rFonts w:ascii="Verdana" w:hAnsi="Verdana"/>
          <w:b/>
          <w:sz w:val="20"/>
        </w:rPr>
        <w:t>Reglamentos relacionados al Recurso Humano:</w:t>
      </w:r>
      <w:r w:rsidRPr="00676D43">
        <w:rPr>
          <w:rFonts w:ascii="Verdana" w:hAnsi="Verdana"/>
          <w:sz w:val="20"/>
        </w:rPr>
        <w:t xml:space="preserve"> </w:t>
      </w:r>
      <w:r w:rsidRPr="00676D43">
        <w:rPr>
          <w:rFonts w:ascii="Verdana" w:hAnsi="Verdana"/>
        </w:rPr>
        <w:t>Debe existir una constante revisión de la normativa</w:t>
      </w:r>
      <w:r w:rsidR="000800B7" w:rsidRPr="00676D43">
        <w:rPr>
          <w:rFonts w:ascii="Verdana" w:hAnsi="Verdana"/>
        </w:rPr>
        <w:t xml:space="preserve"> relacionada con el Recurso Humano</w:t>
      </w:r>
      <w:r w:rsidRPr="00676D43">
        <w:rPr>
          <w:rFonts w:ascii="Verdana" w:hAnsi="Verdana"/>
        </w:rPr>
        <w:t xml:space="preserve"> para que sea acorde a la realidad institucional y nacional, con </w:t>
      </w:r>
      <w:r w:rsidR="00B624E2">
        <w:rPr>
          <w:rFonts w:ascii="Verdana" w:hAnsi="Verdana"/>
        </w:rPr>
        <w:t xml:space="preserve">base en una programación sobre la cual se </w:t>
      </w:r>
      <w:r w:rsidRPr="00676D43">
        <w:rPr>
          <w:rFonts w:ascii="Verdana" w:hAnsi="Verdana"/>
        </w:rPr>
        <w:t xml:space="preserve"> mantenga </w:t>
      </w:r>
      <w:r w:rsidR="00B624E2">
        <w:rPr>
          <w:rFonts w:ascii="Verdana" w:hAnsi="Verdana"/>
        </w:rPr>
        <w:t xml:space="preserve">un </w:t>
      </w:r>
      <w:r w:rsidRPr="00676D43">
        <w:rPr>
          <w:rFonts w:ascii="Verdana" w:hAnsi="Verdana"/>
        </w:rPr>
        <w:t>control</w:t>
      </w:r>
      <w:r w:rsidR="00B624E2">
        <w:rPr>
          <w:rFonts w:ascii="Verdana" w:hAnsi="Verdana"/>
        </w:rPr>
        <w:t xml:space="preserve"> para determinar su ruta crítica</w:t>
      </w:r>
      <w:r w:rsidRPr="00676D43">
        <w:rPr>
          <w:rFonts w:ascii="Verdana" w:hAnsi="Verdana"/>
        </w:rPr>
        <w:t xml:space="preserve">. </w:t>
      </w:r>
    </w:p>
    <w:p w:rsidR="004C2E37" w:rsidRPr="004C2E37" w:rsidRDefault="004C2E37" w:rsidP="004C2E37">
      <w:pPr>
        <w:pStyle w:val="Prrafodelista"/>
        <w:rPr>
          <w:rFonts w:ascii="Verdana" w:hAnsi="Verdana"/>
        </w:rPr>
      </w:pPr>
    </w:p>
    <w:p w:rsidR="00E179C3" w:rsidRPr="004C2E37" w:rsidRDefault="000800B7" w:rsidP="00676D43">
      <w:pPr>
        <w:pStyle w:val="Prrafodelista"/>
        <w:numPr>
          <w:ilvl w:val="0"/>
          <w:numId w:val="4"/>
        </w:numPr>
        <w:jc w:val="both"/>
        <w:rPr>
          <w:rFonts w:ascii="Verdana" w:hAnsi="Verdana"/>
        </w:rPr>
      </w:pPr>
      <w:r w:rsidRPr="00676D43">
        <w:rPr>
          <w:rFonts w:ascii="Verdana" w:hAnsi="Verdana"/>
          <w:b/>
          <w:sz w:val="20"/>
        </w:rPr>
        <w:t>Reglamentos administrativos:</w:t>
      </w:r>
      <w:r w:rsidRPr="00676D43">
        <w:rPr>
          <w:rFonts w:ascii="Verdana" w:hAnsi="Verdana"/>
          <w:sz w:val="20"/>
        </w:rPr>
        <w:t xml:space="preserve"> </w:t>
      </w:r>
      <w:r w:rsidR="00E179C3">
        <w:rPr>
          <w:rFonts w:ascii="Verdana" w:hAnsi="Verdana"/>
          <w:sz w:val="20"/>
        </w:rPr>
        <w:t xml:space="preserve">Será necesario hacer una revisión de la normativa, dadas las circunstancias por las que atraviesa la Institución, ejemplo de ello es la aprobación del Decreto Legislativo N°9625 “Ley Orgánica del Colegio Universitario de Cartago”. </w:t>
      </w:r>
    </w:p>
    <w:p w:rsidR="004C2E37" w:rsidRPr="00E179C3" w:rsidRDefault="004C2E37" w:rsidP="004C2E37">
      <w:pPr>
        <w:pStyle w:val="Prrafodelista"/>
        <w:jc w:val="both"/>
        <w:rPr>
          <w:rFonts w:ascii="Verdana" w:hAnsi="Verdana"/>
        </w:rPr>
      </w:pPr>
    </w:p>
    <w:p w:rsidR="00E179C3" w:rsidRDefault="00E179C3" w:rsidP="00E179C3">
      <w:pPr>
        <w:pStyle w:val="Prrafodelista"/>
        <w:jc w:val="both"/>
        <w:rPr>
          <w:rFonts w:ascii="Verdana" w:hAnsi="Verdana"/>
          <w:b/>
          <w:sz w:val="20"/>
        </w:rPr>
      </w:pPr>
    </w:p>
    <w:p w:rsidR="00E179C3" w:rsidRPr="00E179C3" w:rsidRDefault="00E179C3" w:rsidP="00E179C3">
      <w:pPr>
        <w:pStyle w:val="Prrafodelista"/>
        <w:jc w:val="both"/>
        <w:rPr>
          <w:rFonts w:ascii="Verdana" w:hAnsi="Verdana"/>
        </w:rPr>
      </w:pPr>
      <w:r>
        <w:rPr>
          <w:rFonts w:ascii="Verdana" w:hAnsi="Verdana"/>
        </w:rPr>
        <w:t xml:space="preserve">Dado que la misma hace referencia y obliga a cambios en los </w:t>
      </w:r>
      <w:r w:rsidR="000800B7" w:rsidRPr="00676D43">
        <w:rPr>
          <w:rFonts w:ascii="Verdana" w:hAnsi="Verdana"/>
        </w:rPr>
        <w:t>procesos administrativos para que sea acorde a la rea</w:t>
      </w:r>
      <w:r>
        <w:rPr>
          <w:rFonts w:ascii="Verdana" w:hAnsi="Verdana"/>
        </w:rPr>
        <w:t>lidad institucional y nacional.</w:t>
      </w:r>
    </w:p>
    <w:p w:rsidR="006B0BC9" w:rsidRPr="00C96211" w:rsidRDefault="006E729B" w:rsidP="004C2E37">
      <w:pPr>
        <w:pStyle w:val="Ttulo1"/>
        <w:numPr>
          <w:ilvl w:val="0"/>
          <w:numId w:val="6"/>
        </w:numPr>
        <w:rPr>
          <w:rFonts w:ascii="Verdana" w:eastAsiaTheme="minorHAnsi" w:hAnsi="Verdana" w:cstheme="minorBidi"/>
          <w:bCs w:val="0"/>
          <w:color w:val="auto"/>
          <w:sz w:val="22"/>
          <w:szCs w:val="22"/>
        </w:rPr>
      </w:pPr>
      <w:bookmarkStart w:id="3" w:name="_Toc532981442"/>
      <w:r w:rsidRPr="006B0BC9">
        <w:rPr>
          <w:rFonts w:ascii="Verdana" w:eastAsiaTheme="minorHAnsi" w:hAnsi="Verdana" w:cstheme="minorBidi"/>
          <w:bCs w:val="0"/>
          <w:color w:val="auto"/>
          <w:sz w:val="22"/>
          <w:szCs w:val="22"/>
        </w:rPr>
        <w:t>Análisis de brechas</w:t>
      </w:r>
      <w:bookmarkEnd w:id="3"/>
      <w:r w:rsidRPr="006B0BC9">
        <w:rPr>
          <w:rFonts w:ascii="Verdana" w:eastAsiaTheme="minorHAnsi" w:hAnsi="Verdana" w:cstheme="minorBidi"/>
          <w:bCs w:val="0"/>
          <w:color w:val="auto"/>
          <w:sz w:val="22"/>
          <w:szCs w:val="22"/>
        </w:rPr>
        <w:t xml:space="preserve"> </w:t>
      </w:r>
    </w:p>
    <w:p w:rsidR="009C1766" w:rsidRDefault="009C1766" w:rsidP="009C1766">
      <w:pPr>
        <w:rPr>
          <w:rFonts w:ascii="Verdana" w:hAnsi="Verdana"/>
        </w:rPr>
      </w:pPr>
      <w:r>
        <w:rPr>
          <w:rFonts w:ascii="Verdana" w:hAnsi="Verdana"/>
        </w:rPr>
        <w:t xml:space="preserve">Tomando en consideración la siguiente escala de valoración: </w:t>
      </w:r>
    </w:p>
    <w:p w:rsidR="004C2E37" w:rsidRDefault="004C2E37" w:rsidP="009C1766">
      <w:pPr>
        <w:rPr>
          <w:rFonts w:ascii="Verdana" w:hAnsi="Verdana"/>
        </w:rPr>
      </w:pPr>
    </w:p>
    <w:tbl>
      <w:tblPr>
        <w:tblpPr w:leftFromText="141" w:rightFromText="141" w:vertAnchor="text" w:horzAnchor="margin" w:tblpXSpec="center" w:tblpY="145"/>
        <w:tblW w:w="6655" w:type="dxa"/>
        <w:tblCellMar>
          <w:left w:w="70" w:type="dxa"/>
          <w:right w:w="70" w:type="dxa"/>
        </w:tblCellMar>
        <w:tblLook w:val="04A0" w:firstRow="1" w:lastRow="0" w:firstColumn="1" w:lastColumn="0" w:noHBand="0" w:noVBand="1"/>
      </w:tblPr>
      <w:tblGrid>
        <w:gridCol w:w="252"/>
        <w:gridCol w:w="6403"/>
      </w:tblGrid>
      <w:tr w:rsidR="009C1766" w:rsidRPr="009C1766" w:rsidTr="009C1766">
        <w:trPr>
          <w:trHeight w:val="315"/>
        </w:trPr>
        <w:tc>
          <w:tcPr>
            <w:tcW w:w="6655" w:type="dxa"/>
            <w:gridSpan w:val="2"/>
            <w:tcBorders>
              <w:top w:val="single" w:sz="4" w:space="0" w:color="auto"/>
              <w:left w:val="single" w:sz="4" w:space="0" w:color="auto"/>
              <w:bottom w:val="single" w:sz="4" w:space="0" w:color="auto"/>
              <w:right w:val="single" w:sz="4" w:space="0" w:color="000000"/>
            </w:tcBorders>
            <w:shd w:val="clear" w:color="000000" w:fill="262626"/>
            <w:noWrap/>
            <w:vAlign w:val="bottom"/>
            <w:hideMark/>
          </w:tcPr>
          <w:p w:rsidR="009C1766" w:rsidRPr="009C1766" w:rsidRDefault="009C1766" w:rsidP="009C1766">
            <w:pPr>
              <w:spacing w:after="0" w:line="240" w:lineRule="auto"/>
              <w:jc w:val="center"/>
              <w:rPr>
                <w:rFonts w:ascii="Arial" w:eastAsia="Times New Roman" w:hAnsi="Arial" w:cs="Arial"/>
                <w:b/>
                <w:bCs/>
                <w:i/>
                <w:iCs/>
                <w:color w:val="FFFFFF"/>
                <w:sz w:val="20"/>
                <w:szCs w:val="20"/>
                <w:lang w:eastAsia="es-CR"/>
              </w:rPr>
            </w:pPr>
            <w:r w:rsidRPr="009C1766">
              <w:rPr>
                <w:rFonts w:ascii="Arial" w:eastAsia="Times New Roman" w:hAnsi="Arial" w:cs="Arial"/>
                <w:b/>
                <w:bCs/>
                <w:i/>
                <w:iCs/>
                <w:color w:val="FFFFFF"/>
                <w:sz w:val="20"/>
                <w:szCs w:val="20"/>
                <w:lang w:eastAsia="es-CR"/>
              </w:rPr>
              <w:t>ESCALA DE VALORACIÓN</w:t>
            </w:r>
          </w:p>
        </w:tc>
      </w:tr>
      <w:tr w:rsidR="009C1766" w:rsidRPr="009C1766" w:rsidTr="00C96211">
        <w:trPr>
          <w:trHeight w:val="345"/>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C1766" w:rsidRPr="009C1766" w:rsidRDefault="009C1766" w:rsidP="009C1766">
            <w:pPr>
              <w:spacing w:after="0" w:line="240" w:lineRule="auto"/>
              <w:jc w:val="center"/>
              <w:rPr>
                <w:rFonts w:ascii="Arial" w:eastAsia="Times New Roman" w:hAnsi="Arial" w:cs="Arial"/>
                <w:b/>
                <w:bCs/>
                <w:sz w:val="20"/>
                <w:szCs w:val="20"/>
                <w:lang w:eastAsia="es-CR"/>
              </w:rPr>
            </w:pPr>
            <w:r w:rsidRPr="009C1766">
              <w:rPr>
                <w:rFonts w:ascii="Arial" w:eastAsia="Times New Roman" w:hAnsi="Arial" w:cs="Arial"/>
                <w:b/>
                <w:bCs/>
                <w:sz w:val="20"/>
                <w:szCs w:val="20"/>
                <w:lang w:eastAsia="es-CR"/>
              </w:rPr>
              <w:t>1</w:t>
            </w:r>
          </w:p>
        </w:tc>
        <w:tc>
          <w:tcPr>
            <w:tcW w:w="6403" w:type="dxa"/>
            <w:tcBorders>
              <w:top w:val="single" w:sz="4" w:space="0" w:color="auto"/>
              <w:left w:val="nil"/>
              <w:bottom w:val="single" w:sz="4" w:space="0" w:color="auto"/>
              <w:right w:val="single" w:sz="4" w:space="0" w:color="auto"/>
            </w:tcBorders>
            <w:shd w:val="clear" w:color="auto" w:fill="auto"/>
            <w:noWrap/>
            <w:vAlign w:val="bottom"/>
            <w:hideMark/>
          </w:tcPr>
          <w:p w:rsidR="009C1766" w:rsidRPr="009C1766" w:rsidRDefault="009C1766" w:rsidP="009C1766">
            <w:pPr>
              <w:spacing w:after="0" w:line="240" w:lineRule="auto"/>
              <w:rPr>
                <w:rFonts w:ascii="Arial" w:eastAsia="Times New Roman" w:hAnsi="Arial" w:cs="Arial"/>
                <w:b/>
                <w:bCs/>
                <w:sz w:val="20"/>
                <w:szCs w:val="20"/>
                <w:lang w:eastAsia="es-CR"/>
              </w:rPr>
            </w:pPr>
            <w:r w:rsidRPr="009C1766">
              <w:rPr>
                <w:rFonts w:ascii="Arial" w:eastAsia="Times New Roman" w:hAnsi="Arial" w:cs="Arial"/>
                <w:b/>
                <w:bCs/>
                <w:sz w:val="20"/>
                <w:szCs w:val="20"/>
                <w:lang w:eastAsia="es-CR"/>
              </w:rPr>
              <w:t>NO EXISTE GESTIÓN ACTUALMENTE</w:t>
            </w:r>
          </w:p>
        </w:tc>
      </w:tr>
      <w:tr w:rsidR="009C1766" w:rsidRPr="009C1766" w:rsidTr="00C96211">
        <w:trPr>
          <w:trHeight w:val="30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C1766" w:rsidRPr="009C1766" w:rsidRDefault="009C1766" w:rsidP="009C1766">
            <w:pPr>
              <w:spacing w:after="0" w:line="240" w:lineRule="auto"/>
              <w:jc w:val="center"/>
              <w:rPr>
                <w:rFonts w:ascii="Arial" w:eastAsia="Times New Roman" w:hAnsi="Arial" w:cs="Arial"/>
                <w:b/>
                <w:bCs/>
                <w:sz w:val="20"/>
                <w:szCs w:val="20"/>
                <w:lang w:eastAsia="es-CR"/>
              </w:rPr>
            </w:pPr>
            <w:r w:rsidRPr="009C1766">
              <w:rPr>
                <w:rFonts w:ascii="Arial" w:eastAsia="Times New Roman" w:hAnsi="Arial" w:cs="Arial"/>
                <w:b/>
                <w:bCs/>
                <w:sz w:val="20"/>
                <w:szCs w:val="20"/>
                <w:lang w:eastAsia="es-CR"/>
              </w:rPr>
              <w:t>2</w:t>
            </w:r>
          </w:p>
        </w:tc>
        <w:tc>
          <w:tcPr>
            <w:tcW w:w="6403" w:type="dxa"/>
            <w:tcBorders>
              <w:top w:val="single" w:sz="4" w:space="0" w:color="auto"/>
              <w:left w:val="nil"/>
              <w:bottom w:val="single" w:sz="4" w:space="0" w:color="auto"/>
              <w:right w:val="single" w:sz="4" w:space="0" w:color="000000"/>
            </w:tcBorders>
            <w:shd w:val="clear" w:color="auto" w:fill="auto"/>
            <w:noWrap/>
            <w:vAlign w:val="bottom"/>
            <w:hideMark/>
          </w:tcPr>
          <w:p w:rsidR="009C1766" w:rsidRPr="009C1766" w:rsidRDefault="009C1766" w:rsidP="009C1766">
            <w:pPr>
              <w:spacing w:after="0" w:line="240" w:lineRule="auto"/>
              <w:rPr>
                <w:rFonts w:ascii="Arial" w:eastAsia="Times New Roman" w:hAnsi="Arial" w:cs="Arial"/>
                <w:b/>
                <w:bCs/>
                <w:sz w:val="20"/>
                <w:szCs w:val="20"/>
                <w:lang w:eastAsia="es-CR"/>
              </w:rPr>
            </w:pPr>
            <w:r w:rsidRPr="009C1766">
              <w:rPr>
                <w:rFonts w:ascii="Arial" w:eastAsia="Times New Roman" w:hAnsi="Arial" w:cs="Arial"/>
                <w:b/>
                <w:bCs/>
                <w:sz w:val="20"/>
                <w:szCs w:val="20"/>
                <w:lang w:eastAsia="es-CR"/>
              </w:rPr>
              <w:t>NIVEL DE CONCEPTUALIZACIÓN  Y DISEÑO DE ACCIONES</w:t>
            </w:r>
          </w:p>
        </w:tc>
      </w:tr>
      <w:tr w:rsidR="009C1766" w:rsidRPr="009C1766" w:rsidTr="00C96211">
        <w:trPr>
          <w:trHeight w:val="342"/>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C1766" w:rsidRPr="009C1766" w:rsidRDefault="009C1766" w:rsidP="009C1766">
            <w:pPr>
              <w:spacing w:after="0" w:line="240" w:lineRule="auto"/>
              <w:jc w:val="center"/>
              <w:rPr>
                <w:rFonts w:ascii="Arial" w:eastAsia="Times New Roman" w:hAnsi="Arial" w:cs="Arial"/>
                <w:b/>
                <w:bCs/>
                <w:sz w:val="20"/>
                <w:szCs w:val="20"/>
                <w:lang w:eastAsia="es-CR"/>
              </w:rPr>
            </w:pPr>
            <w:r w:rsidRPr="009C1766">
              <w:rPr>
                <w:rFonts w:ascii="Arial" w:eastAsia="Times New Roman" w:hAnsi="Arial" w:cs="Arial"/>
                <w:b/>
                <w:bCs/>
                <w:sz w:val="20"/>
                <w:szCs w:val="20"/>
                <w:lang w:eastAsia="es-CR"/>
              </w:rPr>
              <w:t>3</w:t>
            </w:r>
          </w:p>
        </w:tc>
        <w:tc>
          <w:tcPr>
            <w:tcW w:w="6403" w:type="dxa"/>
            <w:tcBorders>
              <w:top w:val="single" w:sz="4" w:space="0" w:color="auto"/>
              <w:left w:val="nil"/>
              <w:bottom w:val="single" w:sz="4" w:space="0" w:color="auto"/>
              <w:right w:val="single" w:sz="4" w:space="0" w:color="000000"/>
            </w:tcBorders>
            <w:shd w:val="clear" w:color="auto" w:fill="auto"/>
            <w:noWrap/>
            <w:vAlign w:val="bottom"/>
            <w:hideMark/>
          </w:tcPr>
          <w:p w:rsidR="009C1766" w:rsidRPr="009C1766" w:rsidRDefault="009C1766" w:rsidP="009C1766">
            <w:pPr>
              <w:spacing w:after="0" w:line="240" w:lineRule="auto"/>
              <w:rPr>
                <w:rFonts w:ascii="Arial" w:eastAsia="Times New Roman" w:hAnsi="Arial" w:cs="Arial"/>
                <w:b/>
                <w:bCs/>
                <w:sz w:val="20"/>
                <w:szCs w:val="20"/>
                <w:lang w:eastAsia="es-CR"/>
              </w:rPr>
            </w:pPr>
            <w:r w:rsidRPr="009C1766">
              <w:rPr>
                <w:rFonts w:ascii="Arial" w:eastAsia="Times New Roman" w:hAnsi="Arial" w:cs="Arial"/>
                <w:b/>
                <w:bCs/>
                <w:sz w:val="20"/>
                <w:szCs w:val="20"/>
                <w:lang w:eastAsia="es-CR"/>
              </w:rPr>
              <w:t>DESARROLLO DE ACCIONES</w:t>
            </w:r>
          </w:p>
        </w:tc>
      </w:tr>
      <w:tr w:rsidR="009C1766" w:rsidRPr="009C1766" w:rsidTr="00C96211">
        <w:trPr>
          <w:trHeight w:val="41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C1766" w:rsidRPr="009C1766" w:rsidRDefault="009C1766" w:rsidP="009C1766">
            <w:pPr>
              <w:spacing w:after="0" w:line="240" w:lineRule="auto"/>
              <w:jc w:val="center"/>
              <w:rPr>
                <w:rFonts w:ascii="Arial" w:eastAsia="Times New Roman" w:hAnsi="Arial" w:cs="Arial"/>
                <w:b/>
                <w:bCs/>
                <w:sz w:val="20"/>
                <w:szCs w:val="20"/>
                <w:lang w:eastAsia="es-CR"/>
              </w:rPr>
            </w:pPr>
            <w:r w:rsidRPr="009C1766">
              <w:rPr>
                <w:rFonts w:ascii="Arial" w:eastAsia="Times New Roman" w:hAnsi="Arial" w:cs="Arial"/>
                <w:b/>
                <w:bCs/>
                <w:sz w:val="20"/>
                <w:szCs w:val="20"/>
                <w:lang w:eastAsia="es-CR"/>
              </w:rPr>
              <w:t>4</w:t>
            </w:r>
          </w:p>
        </w:tc>
        <w:tc>
          <w:tcPr>
            <w:tcW w:w="6403" w:type="dxa"/>
            <w:tcBorders>
              <w:top w:val="single" w:sz="4" w:space="0" w:color="auto"/>
              <w:left w:val="nil"/>
              <w:bottom w:val="single" w:sz="4" w:space="0" w:color="auto"/>
              <w:right w:val="single" w:sz="4" w:space="0" w:color="000000"/>
            </w:tcBorders>
            <w:shd w:val="clear" w:color="auto" w:fill="auto"/>
            <w:noWrap/>
            <w:vAlign w:val="bottom"/>
            <w:hideMark/>
          </w:tcPr>
          <w:p w:rsidR="009C1766" w:rsidRPr="009C1766" w:rsidRDefault="009C1766" w:rsidP="009C1766">
            <w:pPr>
              <w:spacing w:after="0" w:line="240" w:lineRule="auto"/>
              <w:rPr>
                <w:rFonts w:ascii="Arial" w:eastAsia="Times New Roman" w:hAnsi="Arial" w:cs="Arial"/>
                <w:b/>
                <w:bCs/>
                <w:sz w:val="20"/>
                <w:szCs w:val="20"/>
                <w:lang w:eastAsia="es-CR"/>
              </w:rPr>
            </w:pPr>
            <w:r w:rsidRPr="009C1766">
              <w:rPr>
                <w:rFonts w:ascii="Arial" w:eastAsia="Times New Roman" w:hAnsi="Arial" w:cs="Arial"/>
                <w:b/>
                <w:bCs/>
                <w:sz w:val="20"/>
                <w:szCs w:val="20"/>
                <w:lang w:eastAsia="es-CR"/>
              </w:rPr>
              <w:t>IMPLEMENTACIÓN Y CONTROL DE ACCIONES</w:t>
            </w:r>
          </w:p>
        </w:tc>
      </w:tr>
      <w:tr w:rsidR="009C1766" w:rsidRPr="009C1766" w:rsidTr="00C96211">
        <w:trPr>
          <w:trHeight w:val="489"/>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C1766" w:rsidRPr="009C1766" w:rsidRDefault="009C1766" w:rsidP="009C1766">
            <w:pPr>
              <w:spacing w:after="0" w:line="240" w:lineRule="auto"/>
              <w:jc w:val="center"/>
              <w:rPr>
                <w:rFonts w:ascii="Arial" w:eastAsia="Times New Roman" w:hAnsi="Arial" w:cs="Arial"/>
                <w:b/>
                <w:bCs/>
                <w:sz w:val="20"/>
                <w:szCs w:val="20"/>
                <w:lang w:eastAsia="es-CR"/>
              </w:rPr>
            </w:pPr>
            <w:r w:rsidRPr="009C1766">
              <w:rPr>
                <w:rFonts w:ascii="Arial" w:eastAsia="Times New Roman" w:hAnsi="Arial" w:cs="Arial"/>
                <w:b/>
                <w:bCs/>
                <w:sz w:val="20"/>
                <w:szCs w:val="20"/>
                <w:lang w:eastAsia="es-CR"/>
              </w:rPr>
              <w:t>5</w:t>
            </w:r>
          </w:p>
        </w:tc>
        <w:tc>
          <w:tcPr>
            <w:tcW w:w="6403" w:type="dxa"/>
            <w:tcBorders>
              <w:top w:val="single" w:sz="4" w:space="0" w:color="auto"/>
              <w:left w:val="nil"/>
              <w:bottom w:val="single" w:sz="4" w:space="0" w:color="auto"/>
              <w:right w:val="single" w:sz="4" w:space="0" w:color="000000"/>
            </w:tcBorders>
            <w:shd w:val="clear" w:color="auto" w:fill="auto"/>
            <w:noWrap/>
            <w:vAlign w:val="bottom"/>
            <w:hideMark/>
          </w:tcPr>
          <w:p w:rsidR="009C1766" w:rsidRPr="009C1766" w:rsidRDefault="009C1766" w:rsidP="009C1766">
            <w:pPr>
              <w:spacing w:after="0" w:line="240" w:lineRule="auto"/>
              <w:rPr>
                <w:rFonts w:ascii="Arial" w:eastAsia="Times New Roman" w:hAnsi="Arial" w:cs="Arial"/>
                <w:b/>
                <w:bCs/>
                <w:sz w:val="20"/>
                <w:szCs w:val="20"/>
                <w:lang w:eastAsia="es-CR"/>
              </w:rPr>
            </w:pPr>
            <w:r w:rsidRPr="009C1766">
              <w:rPr>
                <w:rFonts w:ascii="Arial" w:eastAsia="Times New Roman" w:hAnsi="Arial" w:cs="Arial"/>
                <w:b/>
                <w:bCs/>
                <w:sz w:val="20"/>
                <w:szCs w:val="20"/>
                <w:lang w:eastAsia="es-CR"/>
              </w:rPr>
              <w:t>ESTÁ A NIVEL DE BUENAS PRÁCTICAS</w:t>
            </w:r>
          </w:p>
        </w:tc>
      </w:tr>
      <w:tr w:rsidR="009C1766" w:rsidRPr="009C1766" w:rsidTr="00C96211">
        <w:trPr>
          <w:trHeight w:val="41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C1766" w:rsidRPr="009C1766" w:rsidRDefault="009C1766" w:rsidP="009C1766">
            <w:pPr>
              <w:spacing w:after="0" w:line="240" w:lineRule="auto"/>
              <w:jc w:val="center"/>
              <w:rPr>
                <w:rFonts w:ascii="Arial" w:eastAsia="Times New Roman" w:hAnsi="Arial" w:cs="Arial"/>
                <w:b/>
                <w:bCs/>
                <w:sz w:val="20"/>
                <w:szCs w:val="20"/>
                <w:lang w:eastAsia="es-CR"/>
              </w:rPr>
            </w:pPr>
            <w:r w:rsidRPr="009C1766">
              <w:rPr>
                <w:rFonts w:ascii="Arial" w:eastAsia="Times New Roman" w:hAnsi="Arial" w:cs="Arial"/>
                <w:b/>
                <w:bCs/>
                <w:sz w:val="20"/>
                <w:szCs w:val="20"/>
                <w:lang w:eastAsia="es-CR"/>
              </w:rPr>
              <w:t>6</w:t>
            </w:r>
          </w:p>
        </w:tc>
        <w:tc>
          <w:tcPr>
            <w:tcW w:w="6403" w:type="dxa"/>
            <w:tcBorders>
              <w:top w:val="single" w:sz="4" w:space="0" w:color="auto"/>
              <w:left w:val="nil"/>
              <w:bottom w:val="single" w:sz="4" w:space="0" w:color="auto"/>
              <w:right w:val="single" w:sz="4" w:space="0" w:color="000000"/>
            </w:tcBorders>
            <w:shd w:val="clear" w:color="auto" w:fill="auto"/>
            <w:noWrap/>
            <w:vAlign w:val="bottom"/>
            <w:hideMark/>
          </w:tcPr>
          <w:p w:rsidR="009C1766" w:rsidRPr="009C1766" w:rsidRDefault="009C1766" w:rsidP="009C1766">
            <w:pPr>
              <w:spacing w:after="0" w:line="240" w:lineRule="auto"/>
              <w:rPr>
                <w:rFonts w:ascii="Arial" w:eastAsia="Times New Roman" w:hAnsi="Arial" w:cs="Arial"/>
                <w:b/>
                <w:bCs/>
                <w:sz w:val="20"/>
                <w:szCs w:val="20"/>
                <w:lang w:eastAsia="es-CR"/>
              </w:rPr>
            </w:pPr>
            <w:r w:rsidRPr="009C1766">
              <w:rPr>
                <w:rFonts w:ascii="Arial" w:eastAsia="Times New Roman" w:hAnsi="Arial" w:cs="Arial"/>
                <w:b/>
                <w:bCs/>
                <w:sz w:val="20"/>
                <w:szCs w:val="20"/>
                <w:lang w:eastAsia="es-CR"/>
              </w:rPr>
              <w:t>EN PROCESO DE MEJORA CONTINUA</w:t>
            </w:r>
          </w:p>
        </w:tc>
      </w:tr>
      <w:tr w:rsidR="009C1766" w:rsidRPr="009C1766" w:rsidTr="00C96211">
        <w:trPr>
          <w:trHeight w:val="41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C1766" w:rsidRPr="009C1766" w:rsidRDefault="009C1766" w:rsidP="009C1766">
            <w:pPr>
              <w:spacing w:after="0" w:line="240" w:lineRule="auto"/>
              <w:jc w:val="center"/>
              <w:rPr>
                <w:rFonts w:ascii="Arial" w:eastAsia="Times New Roman" w:hAnsi="Arial" w:cs="Arial"/>
                <w:b/>
                <w:bCs/>
                <w:sz w:val="20"/>
                <w:szCs w:val="20"/>
                <w:lang w:eastAsia="es-CR"/>
              </w:rPr>
            </w:pPr>
            <w:r w:rsidRPr="009C1766">
              <w:rPr>
                <w:rFonts w:ascii="Arial" w:eastAsia="Times New Roman" w:hAnsi="Arial" w:cs="Arial"/>
                <w:b/>
                <w:bCs/>
                <w:sz w:val="20"/>
                <w:szCs w:val="20"/>
                <w:lang w:eastAsia="es-CR"/>
              </w:rPr>
              <w:t>7</w:t>
            </w:r>
          </w:p>
        </w:tc>
        <w:tc>
          <w:tcPr>
            <w:tcW w:w="6403" w:type="dxa"/>
            <w:tcBorders>
              <w:top w:val="single" w:sz="4" w:space="0" w:color="auto"/>
              <w:left w:val="nil"/>
              <w:bottom w:val="single" w:sz="4" w:space="0" w:color="auto"/>
              <w:right w:val="single" w:sz="4" w:space="0" w:color="000000"/>
            </w:tcBorders>
            <w:shd w:val="clear" w:color="auto" w:fill="auto"/>
            <w:noWrap/>
            <w:vAlign w:val="bottom"/>
            <w:hideMark/>
          </w:tcPr>
          <w:p w:rsidR="009C1766" w:rsidRPr="009C1766" w:rsidRDefault="009C1766" w:rsidP="009C1766">
            <w:pPr>
              <w:spacing w:after="0" w:line="240" w:lineRule="auto"/>
              <w:rPr>
                <w:rFonts w:ascii="Arial" w:eastAsia="Times New Roman" w:hAnsi="Arial" w:cs="Arial"/>
                <w:b/>
                <w:bCs/>
                <w:sz w:val="20"/>
                <w:szCs w:val="20"/>
                <w:lang w:eastAsia="es-CR"/>
              </w:rPr>
            </w:pPr>
            <w:r w:rsidRPr="009C1766">
              <w:rPr>
                <w:rFonts w:ascii="Arial" w:eastAsia="Times New Roman" w:hAnsi="Arial" w:cs="Arial"/>
                <w:b/>
                <w:bCs/>
                <w:sz w:val="20"/>
                <w:szCs w:val="20"/>
                <w:lang w:eastAsia="es-CR"/>
              </w:rPr>
              <w:t xml:space="preserve">MEJORES PRÁCTICAS </w:t>
            </w:r>
          </w:p>
        </w:tc>
      </w:tr>
    </w:tbl>
    <w:p w:rsidR="009C1766" w:rsidRPr="009C1766" w:rsidRDefault="009C1766" w:rsidP="009C1766">
      <w:pPr>
        <w:rPr>
          <w:rFonts w:ascii="Verdana" w:hAnsi="Verdana"/>
        </w:rPr>
      </w:pPr>
      <w:r>
        <w:rPr>
          <w:rFonts w:ascii="Verdana" w:hAnsi="Verdana"/>
        </w:rPr>
        <w:t xml:space="preserve"> </w:t>
      </w:r>
    </w:p>
    <w:p w:rsidR="008049E8" w:rsidRDefault="008049E8" w:rsidP="009C1766">
      <w:pPr>
        <w:rPr>
          <w:rFonts w:ascii="Verdana" w:hAnsi="Verdana"/>
        </w:rPr>
      </w:pPr>
    </w:p>
    <w:p w:rsidR="007E71DF" w:rsidRDefault="007E71DF" w:rsidP="009C1766">
      <w:pPr>
        <w:rPr>
          <w:rFonts w:ascii="Verdana" w:hAnsi="Verdana"/>
        </w:rPr>
      </w:pPr>
    </w:p>
    <w:p w:rsidR="007E71DF" w:rsidRDefault="007E71DF" w:rsidP="009C1766">
      <w:pPr>
        <w:rPr>
          <w:rFonts w:ascii="Verdana" w:hAnsi="Verdana"/>
        </w:rPr>
      </w:pPr>
    </w:p>
    <w:p w:rsidR="007E71DF" w:rsidRDefault="007E71DF" w:rsidP="009C1766">
      <w:pPr>
        <w:rPr>
          <w:rFonts w:ascii="Verdana" w:hAnsi="Verdana"/>
        </w:rPr>
      </w:pPr>
    </w:p>
    <w:p w:rsidR="007E71DF" w:rsidRDefault="007E71DF" w:rsidP="009C1766">
      <w:pPr>
        <w:rPr>
          <w:rFonts w:ascii="Verdana" w:hAnsi="Verdana"/>
        </w:rPr>
      </w:pPr>
    </w:p>
    <w:p w:rsidR="00356B58" w:rsidRDefault="00356B58" w:rsidP="007E71DF">
      <w:pPr>
        <w:jc w:val="both"/>
        <w:rPr>
          <w:rFonts w:ascii="Verdana" w:hAnsi="Verdana"/>
        </w:rPr>
      </w:pPr>
    </w:p>
    <w:p w:rsidR="009C1766" w:rsidRDefault="007E71DF" w:rsidP="007E71DF">
      <w:pPr>
        <w:jc w:val="both"/>
        <w:rPr>
          <w:rFonts w:ascii="Verdana" w:hAnsi="Verdana"/>
        </w:rPr>
      </w:pPr>
      <w:r>
        <w:rPr>
          <w:rFonts w:ascii="Verdana" w:hAnsi="Verdana"/>
        </w:rPr>
        <w:t xml:space="preserve">Después de un análisis y reflexión se hizo una determinación de los </w:t>
      </w:r>
      <w:r w:rsidR="004C2E37">
        <w:rPr>
          <w:rFonts w:ascii="Verdana" w:hAnsi="Verdana"/>
        </w:rPr>
        <w:t>factores críticos</w:t>
      </w:r>
      <w:r w:rsidR="00C96211">
        <w:rPr>
          <w:rFonts w:ascii="Verdana" w:hAnsi="Verdana"/>
        </w:rPr>
        <w:t xml:space="preserve"> de</w:t>
      </w:r>
      <w:r w:rsidR="009C1766">
        <w:rPr>
          <w:rFonts w:ascii="Verdana" w:hAnsi="Verdana"/>
        </w:rPr>
        <w:t xml:space="preserve"> éxito</w:t>
      </w:r>
      <w:r>
        <w:rPr>
          <w:rFonts w:ascii="Verdana" w:hAnsi="Verdana"/>
        </w:rPr>
        <w:t xml:space="preserve"> necesarios para el mejor desempeño del Consejo Directivo, siendo los siguientes: Oferta académica, mejora continua, investigación y extensión y desarrollo de talentos y capacidades. </w:t>
      </w:r>
    </w:p>
    <w:p w:rsidR="004C2E37" w:rsidRDefault="007E71DF" w:rsidP="004C2E37">
      <w:pPr>
        <w:jc w:val="both"/>
        <w:rPr>
          <w:rFonts w:ascii="Verdana" w:hAnsi="Verdana"/>
          <w:b/>
        </w:rPr>
      </w:pPr>
      <w:r>
        <w:rPr>
          <w:rFonts w:ascii="Verdana" w:hAnsi="Verdana"/>
        </w:rPr>
        <w:t>Tomando como base los parámetros</w:t>
      </w:r>
      <w:r w:rsidR="0092609B">
        <w:rPr>
          <w:rFonts w:ascii="Verdana" w:hAnsi="Verdana"/>
        </w:rPr>
        <w:t xml:space="preserve"> establecidos en</w:t>
      </w:r>
      <w:r>
        <w:rPr>
          <w:rFonts w:ascii="Verdana" w:hAnsi="Verdana"/>
        </w:rPr>
        <w:t xml:space="preserve"> la tabla anterior, el Consejo Directivo hace una valoración basada en la percepción del desarrollo de los mismos dentro de la instituci</w:t>
      </w:r>
      <w:r w:rsidR="0092609B">
        <w:rPr>
          <w:rFonts w:ascii="Verdana" w:hAnsi="Verdana"/>
        </w:rPr>
        <w:t xml:space="preserve">ón y cual deberá ser su resultado al final del periodo para el que se desarrollan los Planes Anuales de Trabajo, en concordancia con el Plan Estratégico Institucional. </w:t>
      </w:r>
    </w:p>
    <w:p w:rsidR="009C1766" w:rsidRPr="004C2E37" w:rsidRDefault="00676D43" w:rsidP="004C2E37">
      <w:pPr>
        <w:pStyle w:val="Prrafodelista"/>
        <w:numPr>
          <w:ilvl w:val="1"/>
          <w:numId w:val="9"/>
        </w:numPr>
        <w:tabs>
          <w:tab w:val="left" w:pos="567"/>
        </w:tabs>
        <w:rPr>
          <w:rFonts w:ascii="Verdana" w:hAnsi="Verdana"/>
          <w:b/>
        </w:rPr>
      </w:pPr>
      <w:r w:rsidRPr="004C2E37">
        <w:rPr>
          <w:rFonts w:ascii="Verdana" w:hAnsi="Verdana"/>
          <w:b/>
        </w:rPr>
        <w:t>Análisis Situacional</w:t>
      </w:r>
    </w:p>
    <w:p w:rsidR="009C1766" w:rsidRDefault="00031E7A" w:rsidP="004C2E37">
      <w:pPr>
        <w:jc w:val="center"/>
        <w:rPr>
          <w:rFonts w:ascii="Verdana" w:hAnsi="Verdana"/>
        </w:rPr>
      </w:pPr>
      <w:r>
        <w:rPr>
          <w:noProof/>
          <w:lang w:eastAsia="es-CR"/>
        </w:rPr>
        <w:drawing>
          <wp:inline distT="0" distB="0" distL="0" distR="0" wp14:anchorId="60B1A0BE" wp14:editId="1970951B">
            <wp:extent cx="4655127" cy="3535680"/>
            <wp:effectExtent l="0" t="0" r="0" b="7620"/>
            <wp:docPr id="1" name="Gráfico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02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2E37" w:rsidRDefault="0092609B" w:rsidP="004C2E37">
      <w:pPr>
        <w:jc w:val="both"/>
        <w:rPr>
          <w:rFonts w:ascii="Verdana" w:hAnsi="Verdana"/>
        </w:rPr>
      </w:pPr>
      <w:r>
        <w:rPr>
          <w:rFonts w:ascii="Verdana" w:hAnsi="Verdana"/>
        </w:rPr>
        <w:t xml:space="preserve">El gráfico anterior muestra cuales son las brechas que se mantienen actualmente en cada uno de los factores y que por tanto es necesario cerrarlas a través de las acciones </w:t>
      </w:r>
      <w:r w:rsidR="007F4954">
        <w:rPr>
          <w:rFonts w:ascii="Verdana" w:hAnsi="Verdana"/>
        </w:rPr>
        <w:t>que se implementará</w:t>
      </w:r>
      <w:r w:rsidR="00EE5868">
        <w:rPr>
          <w:rFonts w:ascii="Verdana" w:hAnsi="Verdana"/>
        </w:rPr>
        <w:t>n en los Planes Anuales de Trabajo, partiendo de los objetivos estratégicos, metas, indicadores y plazos que deben cumplirse durante el trienio.</w:t>
      </w:r>
      <w:r>
        <w:rPr>
          <w:rFonts w:ascii="Verdana" w:hAnsi="Verdana"/>
        </w:rPr>
        <w:t xml:space="preserve"> </w:t>
      </w:r>
    </w:p>
    <w:p w:rsidR="004C2E37" w:rsidRDefault="004C2E37" w:rsidP="004C2E37">
      <w:pPr>
        <w:sectPr w:rsidR="004C2E37" w:rsidSect="004C2E37">
          <w:headerReference w:type="default" r:id="rId15"/>
          <w:footerReference w:type="default" r:id="rId16"/>
          <w:pgSz w:w="12240" w:h="15840"/>
          <w:pgMar w:top="2127" w:right="1701" w:bottom="1417" w:left="1701" w:header="708" w:footer="708" w:gutter="0"/>
          <w:cols w:space="708"/>
          <w:docGrid w:linePitch="360"/>
        </w:sectPr>
      </w:pPr>
      <w:r>
        <w:rPr>
          <w:rFonts w:ascii="Verdana" w:hAnsi="Verdana"/>
        </w:rPr>
        <w:br w:type="page"/>
      </w:r>
    </w:p>
    <w:p w:rsidR="004C2E37" w:rsidRDefault="004C2E37" w:rsidP="00E777BB">
      <w:pPr>
        <w:pStyle w:val="Ttulo1"/>
        <w:numPr>
          <w:ilvl w:val="0"/>
          <w:numId w:val="6"/>
        </w:numPr>
        <w:rPr>
          <w:rFonts w:ascii="Verdana" w:eastAsiaTheme="minorHAnsi" w:hAnsi="Verdana" w:cstheme="minorBidi"/>
          <w:color w:val="auto"/>
          <w:sz w:val="22"/>
          <w:szCs w:val="22"/>
        </w:rPr>
      </w:pPr>
      <w:bookmarkStart w:id="4" w:name="_Toc532981443"/>
      <w:r w:rsidRPr="004C2E37">
        <w:rPr>
          <w:rFonts w:ascii="Verdana" w:eastAsiaTheme="minorHAnsi" w:hAnsi="Verdana" w:cstheme="minorBidi"/>
          <w:color w:val="auto"/>
          <w:sz w:val="22"/>
          <w:szCs w:val="22"/>
        </w:rPr>
        <w:t>Objetivos Estratégicos</w:t>
      </w:r>
      <w:bookmarkEnd w:id="4"/>
    </w:p>
    <w:p w:rsidR="004C2E37" w:rsidRPr="004C2E37" w:rsidRDefault="004C2E37" w:rsidP="004C2E37"/>
    <w:p w:rsidR="004C2E37" w:rsidRDefault="004C2E37" w:rsidP="004C2E37">
      <w:pPr>
        <w:ind w:left="142"/>
        <w:sectPr w:rsidR="004C2E37" w:rsidSect="004C2E37">
          <w:pgSz w:w="15840" w:h="12240" w:orient="landscape"/>
          <w:pgMar w:top="1843" w:right="1418" w:bottom="284" w:left="2126" w:header="709" w:footer="709" w:gutter="0"/>
          <w:cols w:space="708"/>
          <w:docGrid w:linePitch="360"/>
        </w:sectPr>
      </w:pPr>
      <w:r>
        <w:rPr>
          <w:noProof/>
          <w:lang w:eastAsia="es-CR"/>
        </w:rPr>
        <w:drawing>
          <wp:inline distT="0" distB="0" distL="0" distR="0" wp14:anchorId="45864DB2" wp14:editId="4C5F784F">
            <wp:extent cx="8289290" cy="3675944"/>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86" t="22632" r="10530" b="10314"/>
                    <a:stretch/>
                  </pic:blipFill>
                  <pic:spPr bwMode="auto">
                    <a:xfrm>
                      <a:off x="0" y="0"/>
                      <a:ext cx="8387405" cy="371945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R"/>
        </w:rPr>
        <w:drawing>
          <wp:inline distT="0" distB="0" distL="0" distR="0" wp14:anchorId="1A7E4E95" wp14:editId="7A9977C0">
            <wp:extent cx="8295417" cy="11703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85" t="52199" r="10727" b="28184"/>
                    <a:stretch/>
                  </pic:blipFill>
                  <pic:spPr bwMode="auto">
                    <a:xfrm>
                      <a:off x="0" y="0"/>
                      <a:ext cx="8422253" cy="1188199"/>
                    </a:xfrm>
                    <a:prstGeom prst="rect">
                      <a:avLst/>
                    </a:prstGeom>
                    <a:ln>
                      <a:noFill/>
                    </a:ln>
                    <a:extLst>
                      <a:ext uri="{53640926-AAD7-44D8-BBD7-CCE9431645EC}">
                        <a14:shadowObscured xmlns:a14="http://schemas.microsoft.com/office/drawing/2010/main"/>
                      </a:ext>
                    </a:extLst>
                  </pic:spPr>
                </pic:pic>
              </a:graphicData>
            </a:graphic>
          </wp:inline>
        </w:drawing>
      </w:r>
    </w:p>
    <w:p w:rsidR="004C2E37" w:rsidRDefault="004C2E37" w:rsidP="004C2E37">
      <w:pPr>
        <w:jc w:val="center"/>
        <w:rPr>
          <w:rFonts w:ascii="Verdana" w:hAnsi="Verdana"/>
          <w:b/>
        </w:rPr>
      </w:pPr>
    </w:p>
    <w:p w:rsidR="004C2E37" w:rsidRPr="004C2E37" w:rsidRDefault="004C2E37" w:rsidP="004C2E37">
      <w:pPr>
        <w:jc w:val="center"/>
        <w:rPr>
          <w:rFonts w:ascii="Verdana" w:hAnsi="Verdana"/>
          <w:b/>
        </w:rPr>
      </w:pPr>
      <w:r w:rsidRPr="004C2E37">
        <w:rPr>
          <w:rFonts w:ascii="Verdana" w:hAnsi="Verdana"/>
          <w:b/>
        </w:rPr>
        <w:t>Matriz de Posicionamiento Estratégico IE</w:t>
      </w:r>
    </w:p>
    <w:p w:rsidR="004C2E37" w:rsidRDefault="004C2E37" w:rsidP="004C2E37">
      <w:pPr>
        <w:jc w:val="center"/>
        <w:rPr>
          <w:rFonts w:ascii="Verdana" w:hAnsi="Verdana"/>
        </w:rPr>
      </w:pPr>
    </w:p>
    <w:p w:rsidR="00676D43" w:rsidRPr="00676D43" w:rsidRDefault="004C2E37" w:rsidP="004C2E37">
      <w:pPr>
        <w:jc w:val="center"/>
        <w:rPr>
          <w:rFonts w:ascii="Verdana" w:hAnsi="Verdana"/>
        </w:rPr>
      </w:pPr>
      <w:r>
        <w:rPr>
          <w:noProof/>
          <w:lang w:eastAsia="es-CR"/>
        </w:rPr>
        <w:drawing>
          <wp:inline distT="0" distB="0" distL="0" distR="0" wp14:anchorId="783200D2" wp14:editId="5AA5FAA9">
            <wp:extent cx="4827905" cy="2781300"/>
            <wp:effectExtent l="0" t="0" r="0" b="0"/>
            <wp:docPr id="2" name="Imagen 1" descr="Resultado de imagen para matriz IE"/>
            <wp:cNvGraphicFramePr/>
            <a:graphic xmlns:a="http://schemas.openxmlformats.org/drawingml/2006/main">
              <a:graphicData uri="http://schemas.openxmlformats.org/drawingml/2006/picture">
                <pic:pic xmlns:pic="http://schemas.openxmlformats.org/drawingml/2006/picture">
                  <pic:nvPicPr>
                    <pic:cNvPr id="2" name="Imagen 1" descr="Resultado de imagen para matriz IE"/>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7905" cy="2781300"/>
                    </a:xfrm>
                    <a:prstGeom prst="rect">
                      <a:avLst/>
                    </a:prstGeom>
                    <a:noFill/>
                    <a:ln>
                      <a:noFill/>
                    </a:ln>
                  </pic:spPr>
                </pic:pic>
              </a:graphicData>
            </a:graphic>
          </wp:inline>
        </w:drawing>
      </w:r>
    </w:p>
    <w:p w:rsidR="00E21103" w:rsidRDefault="004C2E37" w:rsidP="004C2E37">
      <w:pPr>
        <w:pStyle w:val="Ttulo1"/>
        <w:numPr>
          <w:ilvl w:val="0"/>
          <w:numId w:val="6"/>
        </w:numPr>
        <w:rPr>
          <w:rFonts w:ascii="Verdana" w:eastAsiaTheme="minorHAnsi" w:hAnsi="Verdana" w:cstheme="minorBidi"/>
          <w:bCs w:val="0"/>
          <w:color w:val="auto"/>
          <w:sz w:val="22"/>
          <w:szCs w:val="22"/>
        </w:rPr>
      </w:pPr>
      <w:bookmarkStart w:id="5" w:name="_Toc532981444"/>
      <w:r>
        <w:rPr>
          <w:rFonts w:ascii="Verdana" w:eastAsiaTheme="minorHAnsi" w:hAnsi="Verdana" w:cstheme="minorBidi"/>
          <w:bCs w:val="0"/>
          <w:color w:val="auto"/>
          <w:sz w:val="22"/>
          <w:szCs w:val="22"/>
        </w:rPr>
        <w:t>C</w:t>
      </w:r>
      <w:r w:rsidR="00616D00" w:rsidRPr="004C2E37">
        <w:rPr>
          <w:rFonts w:ascii="Verdana" w:eastAsiaTheme="minorHAnsi" w:hAnsi="Verdana" w:cstheme="minorBidi"/>
          <w:bCs w:val="0"/>
          <w:color w:val="auto"/>
          <w:sz w:val="22"/>
          <w:szCs w:val="22"/>
        </w:rPr>
        <w:t>onclusión</w:t>
      </w:r>
      <w:bookmarkEnd w:id="5"/>
      <w:r w:rsidR="00616D00" w:rsidRPr="004C2E37">
        <w:rPr>
          <w:rFonts w:ascii="Verdana" w:eastAsiaTheme="minorHAnsi" w:hAnsi="Verdana" w:cstheme="minorBidi"/>
          <w:bCs w:val="0"/>
          <w:color w:val="auto"/>
          <w:sz w:val="22"/>
          <w:szCs w:val="22"/>
        </w:rPr>
        <w:t xml:space="preserve"> </w:t>
      </w:r>
    </w:p>
    <w:p w:rsidR="004C2E37" w:rsidRPr="004C2E37" w:rsidRDefault="004C2E37" w:rsidP="004C2E37"/>
    <w:p w:rsidR="00616D00" w:rsidRDefault="00616D00" w:rsidP="00E21103">
      <w:pPr>
        <w:jc w:val="both"/>
        <w:rPr>
          <w:rFonts w:ascii="Verdana" w:hAnsi="Verdana"/>
        </w:rPr>
      </w:pPr>
      <w:r>
        <w:rPr>
          <w:rFonts w:ascii="Verdana" w:hAnsi="Verdana"/>
        </w:rPr>
        <w:t xml:space="preserve">Después de haber realizado una reflexión y análisis de lo establecido en el Informe Especial de la Auditoria y el papel que desempeña el Consejo Directivo dentro de la institución, es que se presenta </w:t>
      </w:r>
      <w:r w:rsidR="0077058D">
        <w:rPr>
          <w:rFonts w:ascii="Verdana" w:hAnsi="Verdana"/>
        </w:rPr>
        <w:t xml:space="preserve">los Planes Anuales de Trabajo </w:t>
      </w:r>
      <w:r>
        <w:rPr>
          <w:rFonts w:ascii="Verdana" w:hAnsi="Verdana"/>
        </w:rPr>
        <w:t>para el próximo trieni</w:t>
      </w:r>
      <w:r w:rsidR="00E21103">
        <w:rPr>
          <w:rFonts w:ascii="Verdana" w:hAnsi="Verdana"/>
        </w:rPr>
        <w:t xml:space="preserve">o. </w:t>
      </w:r>
    </w:p>
    <w:p w:rsidR="005A59A0" w:rsidRDefault="00E21103" w:rsidP="00E21103">
      <w:pPr>
        <w:jc w:val="both"/>
        <w:rPr>
          <w:rFonts w:ascii="Verdana" w:hAnsi="Verdana"/>
        </w:rPr>
      </w:pPr>
      <w:r>
        <w:rPr>
          <w:rFonts w:ascii="Verdana" w:hAnsi="Verdana"/>
        </w:rPr>
        <w:t>Este informe ha sido preparado con base en</w:t>
      </w:r>
      <w:r w:rsidR="0077058D">
        <w:rPr>
          <w:rFonts w:ascii="Verdana" w:hAnsi="Verdana"/>
        </w:rPr>
        <w:t>:</w:t>
      </w:r>
      <w:r w:rsidR="005A59A0">
        <w:rPr>
          <w:rFonts w:ascii="Verdana" w:hAnsi="Verdana"/>
        </w:rPr>
        <w:t xml:space="preserve"> la Auditoría Especial de la Contraloría General de la República y </w:t>
      </w:r>
      <w:r>
        <w:rPr>
          <w:rFonts w:ascii="Verdana" w:hAnsi="Verdana"/>
        </w:rPr>
        <w:t xml:space="preserve"> los lineamientos establecidos en el Plan Estratégico Institucional 2018-2023, ambos documentos fueron confronta</w:t>
      </w:r>
      <w:r w:rsidR="005A59A0">
        <w:rPr>
          <w:rFonts w:ascii="Verdana" w:hAnsi="Verdana"/>
        </w:rPr>
        <w:t xml:space="preserve">dos con el objetivo de cumplir </w:t>
      </w:r>
      <w:r>
        <w:rPr>
          <w:rFonts w:ascii="Verdana" w:hAnsi="Verdana"/>
        </w:rPr>
        <w:t xml:space="preserve"> con las </w:t>
      </w:r>
      <w:r w:rsidR="005A59A0">
        <w:rPr>
          <w:rFonts w:ascii="Verdana" w:hAnsi="Verdana"/>
        </w:rPr>
        <w:t xml:space="preserve">disposiciones </w:t>
      </w:r>
      <w:r>
        <w:rPr>
          <w:rFonts w:ascii="Verdana" w:hAnsi="Verdana"/>
        </w:rPr>
        <w:t xml:space="preserve"> establecidas </w:t>
      </w:r>
      <w:r w:rsidR="005A59A0">
        <w:rPr>
          <w:rFonts w:ascii="Verdana" w:hAnsi="Verdana"/>
        </w:rPr>
        <w:t xml:space="preserve">por el ente contralor. </w:t>
      </w:r>
    </w:p>
    <w:p w:rsidR="00E21103" w:rsidRPr="00616D00" w:rsidRDefault="00E21103" w:rsidP="00E21103">
      <w:pPr>
        <w:jc w:val="both"/>
        <w:rPr>
          <w:rFonts w:ascii="Verdana" w:hAnsi="Verdana"/>
        </w:rPr>
      </w:pPr>
      <w:r>
        <w:rPr>
          <w:rFonts w:ascii="Verdana" w:hAnsi="Verdana"/>
        </w:rPr>
        <w:t>Cumpliendo con las disposiciones emanadas por la Contraloría General de la República es que presentamos el siguiente Plan de Trabajo del Consejo Directivo para que sea divulgado por los diferentes medios electrónicos institucionales para el conocimiento de los dife</w:t>
      </w:r>
      <w:r w:rsidR="009A3860">
        <w:rPr>
          <w:rFonts w:ascii="Verdana" w:hAnsi="Verdana"/>
        </w:rPr>
        <w:t xml:space="preserve">rentes sectores que integran la comunidad del Colegio Universitario de Cartago </w:t>
      </w:r>
      <w:r>
        <w:rPr>
          <w:rFonts w:ascii="Verdana" w:hAnsi="Verdana"/>
        </w:rPr>
        <w:t xml:space="preserve">(Estudiantes, Docentes y Administrativos).  </w:t>
      </w:r>
    </w:p>
    <w:sectPr w:rsidR="00E21103" w:rsidRPr="00616D00" w:rsidSect="004C2E37">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D43" w:rsidRDefault="00676D43" w:rsidP="00676D43">
      <w:pPr>
        <w:spacing w:after="0" w:line="240" w:lineRule="auto"/>
      </w:pPr>
      <w:r>
        <w:separator/>
      </w:r>
    </w:p>
  </w:endnote>
  <w:endnote w:type="continuationSeparator" w:id="0">
    <w:p w:rsidR="00676D43" w:rsidRDefault="00676D43" w:rsidP="00676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5582241"/>
      <w:docPartObj>
        <w:docPartGallery w:val="Page Numbers (Bottom of Page)"/>
        <w:docPartUnique/>
      </w:docPartObj>
    </w:sdtPr>
    <w:sdtContent>
      <w:p w:rsidR="004C2E37" w:rsidRDefault="004C2E37">
        <w:pPr>
          <w:pStyle w:val="Piedepgina"/>
          <w:jc w:val="right"/>
        </w:pPr>
        <w:r>
          <w:fldChar w:fldCharType="begin"/>
        </w:r>
        <w:r>
          <w:instrText>PAGE   \* MERGEFORMAT</w:instrText>
        </w:r>
        <w:r>
          <w:fldChar w:fldCharType="separate"/>
        </w:r>
        <w:r w:rsidR="00356B58" w:rsidRPr="00356B58">
          <w:rPr>
            <w:noProof/>
            <w:lang w:val="es-ES"/>
          </w:rPr>
          <w:t>4</w:t>
        </w:r>
        <w:r>
          <w:fldChar w:fldCharType="end"/>
        </w:r>
      </w:p>
    </w:sdtContent>
  </w:sdt>
  <w:p w:rsidR="004C2E37" w:rsidRDefault="004C2E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D43" w:rsidRDefault="00676D43" w:rsidP="00676D43">
      <w:pPr>
        <w:spacing w:after="0" w:line="240" w:lineRule="auto"/>
      </w:pPr>
      <w:r>
        <w:separator/>
      </w:r>
    </w:p>
  </w:footnote>
  <w:footnote w:type="continuationSeparator" w:id="0">
    <w:p w:rsidR="00676D43" w:rsidRDefault="00676D43" w:rsidP="00676D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A2A" w:rsidRDefault="00953A2A">
    <w:pPr>
      <w:pStyle w:val="Encabezado"/>
    </w:pPr>
    <w:r>
      <w:rPr>
        <w:rFonts w:ascii="Verdana" w:hAnsi="Verdana"/>
        <w:b/>
        <w:noProof/>
        <w:color w:val="365F91"/>
        <w:lang w:eastAsia="es-CR"/>
      </w:rPr>
      <w:drawing>
        <wp:anchor distT="0" distB="0" distL="114300" distR="114300" simplePos="0" relativeHeight="251655680" behindDoc="0" locked="0" layoutInCell="1" allowOverlap="1" wp14:anchorId="6F4126CA" wp14:editId="317A0952">
          <wp:simplePos x="0" y="0"/>
          <wp:positionH relativeFrom="column">
            <wp:posOffset>-190500</wp:posOffset>
          </wp:positionH>
          <wp:positionV relativeFrom="paragraph">
            <wp:posOffset>-229235</wp:posOffset>
          </wp:positionV>
          <wp:extent cx="629920" cy="914400"/>
          <wp:effectExtent l="0" t="0" r="0" b="0"/>
          <wp:wrapSquare wrapText="bothSides"/>
          <wp:docPr id="25" name="Imagen 25" descr="logo cuc azul-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c azul-roj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9920"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E37" w:rsidRDefault="004C2E37">
    <w:pPr>
      <w:pStyle w:val="Encabezado"/>
    </w:pPr>
    <w:r>
      <w:rPr>
        <w:rFonts w:ascii="Verdana" w:hAnsi="Verdana"/>
        <w:b/>
        <w:noProof/>
        <w:color w:val="365F91"/>
        <w:lang w:eastAsia="es-CR"/>
      </w:rPr>
      <w:drawing>
        <wp:anchor distT="0" distB="0" distL="114300" distR="114300" simplePos="0" relativeHeight="251659776" behindDoc="0" locked="0" layoutInCell="1" allowOverlap="1" wp14:anchorId="3B9EF9AD" wp14:editId="5CDD3C36">
          <wp:simplePos x="0" y="0"/>
          <wp:positionH relativeFrom="column">
            <wp:posOffset>-190500</wp:posOffset>
          </wp:positionH>
          <wp:positionV relativeFrom="paragraph">
            <wp:posOffset>-229235</wp:posOffset>
          </wp:positionV>
          <wp:extent cx="629920" cy="914400"/>
          <wp:effectExtent l="0" t="0" r="0" b="0"/>
          <wp:wrapSquare wrapText="bothSides"/>
          <wp:docPr id="29" name="Imagen 29" descr="logo cuc azul-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c azul-roj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9920"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80938"/>
    <w:multiLevelType w:val="hybridMultilevel"/>
    <w:tmpl w:val="CB8C5BDA"/>
    <w:lvl w:ilvl="0" w:tplc="3A8EBB92">
      <w:start w:val="1"/>
      <w:numFmt w:val="decimal"/>
      <w:lvlText w:val="%1-"/>
      <w:lvlJc w:val="left"/>
      <w:pPr>
        <w:ind w:left="36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08EB55F8"/>
    <w:multiLevelType w:val="hybridMultilevel"/>
    <w:tmpl w:val="148C969E"/>
    <w:lvl w:ilvl="0" w:tplc="BD063464">
      <w:start w:val="1"/>
      <w:numFmt w:val="decimal"/>
      <w:lvlText w:val="%1-"/>
      <w:lvlJc w:val="left"/>
      <w:pPr>
        <w:ind w:left="720" w:hanging="360"/>
      </w:pPr>
      <w:rPr>
        <w:rFonts w:hint="default"/>
        <w:color w:val="auto"/>
      </w:rPr>
    </w:lvl>
    <w:lvl w:ilvl="1" w:tplc="A3FEE918">
      <w:start w:val="1"/>
      <w:numFmt w:val="lowerLetter"/>
      <w:lvlText w:val="%2."/>
      <w:lvlJc w:val="left"/>
      <w:pPr>
        <w:ind w:left="1440" w:hanging="360"/>
      </w:pPr>
      <w:rPr>
        <w:color w:val="auto"/>
      </w:r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1BF128CB"/>
    <w:multiLevelType w:val="hybridMultilevel"/>
    <w:tmpl w:val="CB8C5BDA"/>
    <w:lvl w:ilvl="0" w:tplc="3A8EBB92">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1D3F26C0"/>
    <w:multiLevelType w:val="multilevel"/>
    <w:tmpl w:val="8B1894D6"/>
    <w:lvl w:ilvl="0">
      <w:start w:val="3"/>
      <w:numFmt w:val="decimal"/>
      <w:lvlText w:val="%1."/>
      <w:lvlJc w:val="left"/>
      <w:pPr>
        <w:ind w:left="480" w:hanging="48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040" w:hanging="2520"/>
      </w:pPr>
      <w:rPr>
        <w:rFonts w:hint="default"/>
      </w:rPr>
    </w:lvl>
  </w:abstractNum>
  <w:abstractNum w:abstractNumId="4">
    <w:nsid w:val="3C4857D1"/>
    <w:multiLevelType w:val="hybridMultilevel"/>
    <w:tmpl w:val="CB8C5BDA"/>
    <w:lvl w:ilvl="0" w:tplc="3A8EBB92">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6DB915A6"/>
    <w:multiLevelType w:val="multilevel"/>
    <w:tmpl w:val="123CEA4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706768EA"/>
    <w:multiLevelType w:val="multilevel"/>
    <w:tmpl w:val="8E329E2E"/>
    <w:lvl w:ilvl="0">
      <w:start w:val="1"/>
      <w:numFmt w:val="decimal"/>
      <w:lvlText w:val="%1."/>
      <w:lvlJc w:val="left"/>
      <w:pPr>
        <w:ind w:left="480" w:hanging="480"/>
      </w:pPr>
      <w:rPr>
        <w:rFonts w:hint="default"/>
      </w:rPr>
    </w:lvl>
    <w:lvl w:ilvl="1">
      <w:start w:val="1"/>
      <w:numFmt w:val="decimal"/>
      <w:lvlText w:val="%1.%2."/>
      <w:lvlJc w:val="left"/>
      <w:pPr>
        <w:ind w:left="1800" w:hanging="720"/>
      </w:pPr>
      <w:rPr>
        <w:rFonts w:hint="default"/>
        <w:b/>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160" w:hanging="2520"/>
      </w:pPr>
      <w:rPr>
        <w:rFonts w:hint="default"/>
      </w:rPr>
    </w:lvl>
  </w:abstractNum>
  <w:abstractNum w:abstractNumId="7">
    <w:nsid w:val="744F5065"/>
    <w:multiLevelType w:val="hybridMultilevel"/>
    <w:tmpl w:val="110C5BCE"/>
    <w:lvl w:ilvl="0" w:tplc="25AC89CE">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7C8602C0"/>
    <w:multiLevelType w:val="multilevel"/>
    <w:tmpl w:val="641E6892"/>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nsid w:val="7DBC70BD"/>
    <w:multiLevelType w:val="hybridMultilevel"/>
    <w:tmpl w:val="9C7014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7F082010"/>
    <w:multiLevelType w:val="hybridMultilevel"/>
    <w:tmpl w:val="FCF60604"/>
    <w:lvl w:ilvl="0" w:tplc="CC1E3106">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
  </w:num>
  <w:num w:numId="2">
    <w:abstractNumId w:val="5"/>
  </w:num>
  <w:num w:numId="3">
    <w:abstractNumId w:val="10"/>
  </w:num>
  <w:num w:numId="4">
    <w:abstractNumId w:val="9"/>
  </w:num>
  <w:num w:numId="5">
    <w:abstractNumId w:val="7"/>
  </w:num>
  <w:num w:numId="6">
    <w:abstractNumId w:val="0"/>
  </w:num>
  <w:num w:numId="7">
    <w:abstractNumId w:val="6"/>
  </w:num>
  <w:num w:numId="8">
    <w:abstractNumId w:val="3"/>
  </w:num>
  <w:num w:numId="9">
    <w:abstractNumId w:val="8"/>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29B"/>
    <w:rsid w:val="00025A3F"/>
    <w:rsid w:val="00031E7A"/>
    <w:rsid w:val="00072EFA"/>
    <w:rsid w:val="000800B7"/>
    <w:rsid w:val="00115E87"/>
    <w:rsid w:val="0018345A"/>
    <w:rsid w:val="001B57AE"/>
    <w:rsid w:val="00220F47"/>
    <w:rsid w:val="002A76B8"/>
    <w:rsid w:val="002D1217"/>
    <w:rsid w:val="002F2BF2"/>
    <w:rsid w:val="00356B58"/>
    <w:rsid w:val="004331AD"/>
    <w:rsid w:val="004C2E37"/>
    <w:rsid w:val="004D1D42"/>
    <w:rsid w:val="00571FD6"/>
    <w:rsid w:val="005A59A0"/>
    <w:rsid w:val="005B111C"/>
    <w:rsid w:val="005B4DAA"/>
    <w:rsid w:val="00616D00"/>
    <w:rsid w:val="006758BD"/>
    <w:rsid w:val="00676D43"/>
    <w:rsid w:val="00684BEF"/>
    <w:rsid w:val="00694F33"/>
    <w:rsid w:val="006B0BC9"/>
    <w:rsid w:val="006E729B"/>
    <w:rsid w:val="0077058D"/>
    <w:rsid w:val="007E71DF"/>
    <w:rsid w:val="007F4954"/>
    <w:rsid w:val="008049E8"/>
    <w:rsid w:val="008479B1"/>
    <w:rsid w:val="008F0770"/>
    <w:rsid w:val="0092609B"/>
    <w:rsid w:val="00953A2A"/>
    <w:rsid w:val="009A3860"/>
    <w:rsid w:val="009C1766"/>
    <w:rsid w:val="00A53222"/>
    <w:rsid w:val="00A5537B"/>
    <w:rsid w:val="00AE5495"/>
    <w:rsid w:val="00B624E2"/>
    <w:rsid w:val="00BC3B85"/>
    <w:rsid w:val="00BF1E8A"/>
    <w:rsid w:val="00C644BD"/>
    <w:rsid w:val="00C73A79"/>
    <w:rsid w:val="00C96211"/>
    <w:rsid w:val="00CF6D67"/>
    <w:rsid w:val="00D2497C"/>
    <w:rsid w:val="00DB7DB6"/>
    <w:rsid w:val="00DF068F"/>
    <w:rsid w:val="00E12DEA"/>
    <w:rsid w:val="00E179C3"/>
    <w:rsid w:val="00E21103"/>
    <w:rsid w:val="00E276E5"/>
    <w:rsid w:val="00E72752"/>
    <w:rsid w:val="00EE5868"/>
    <w:rsid w:val="00F17236"/>
    <w:rsid w:val="00FB5AE8"/>
    <w:rsid w:val="00FD539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docId w15:val="{5EAC66E8-C078-43D3-A496-1C6B46B60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211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729B"/>
    <w:pPr>
      <w:ind w:left="720"/>
      <w:contextualSpacing/>
    </w:pPr>
  </w:style>
  <w:style w:type="character" w:customStyle="1" w:styleId="SinespaciadoCar">
    <w:name w:val="Sin espaciado Car"/>
    <w:basedOn w:val="Fuentedeprrafopredeter"/>
    <w:link w:val="Sinespaciado"/>
    <w:uiPriority w:val="1"/>
    <w:rsid w:val="00E276E5"/>
    <w:rPr>
      <w:sz w:val="20"/>
      <w:szCs w:val="20"/>
    </w:rPr>
  </w:style>
  <w:style w:type="paragraph" w:styleId="Sinespaciado">
    <w:name w:val="No Spacing"/>
    <w:basedOn w:val="Normal"/>
    <w:link w:val="SinespaciadoCar"/>
    <w:uiPriority w:val="1"/>
    <w:qFormat/>
    <w:rsid w:val="00E276E5"/>
    <w:pPr>
      <w:spacing w:after="0" w:line="240" w:lineRule="auto"/>
    </w:pPr>
    <w:rPr>
      <w:sz w:val="20"/>
      <w:szCs w:val="20"/>
    </w:rPr>
  </w:style>
  <w:style w:type="paragraph" w:styleId="Textodeglobo">
    <w:name w:val="Balloon Text"/>
    <w:basedOn w:val="Normal"/>
    <w:link w:val="TextodegloboCar"/>
    <w:uiPriority w:val="99"/>
    <w:semiHidden/>
    <w:unhideWhenUsed/>
    <w:rsid w:val="00C73A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3A79"/>
    <w:rPr>
      <w:rFonts w:ascii="Tahoma" w:hAnsi="Tahoma" w:cs="Tahoma"/>
      <w:sz w:val="16"/>
      <w:szCs w:val="16"/>
    </w:rPr>
  </w:style>
  <w:style w:type="paragraph" w:styleId="Encabezado">
    <w:name w:val="header"/>
    <w:basedOn w:val="Normal"/>
    <w:link w:val="EncabezadoCar"/>
    <w:uiPriority w:val="99"/>
    <w:unhideWhenUsed/>
    <w:rsid w:val="00676D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6D43"/>
  </w:style>
  <w:style w:type="paragraph" w:styleId="Piedepgina">
    <w:name w:val="footer"/>
    <w:basedOn w:val="Normal"/>
    <w:link w:val="PiedepginaCar"/>
    <w:uiPriority w:val="99"/>
    <w:unhideWhenUsed/>
    <w:rsid w:val="00676D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6D43"/>
  </w:style>
  <w:style w:type="character" w:customStyle="1" w:styleId="Ttulo1Car">
    <w:name w:val="Título 1 Car"/>
    <w:basedOn w:val="Fuentedeprrafopredeter"/>
    <w:link w:val="Ttulo1"/>
    <w:uiPriority w:val="9"/>
    <w:rsid w:val="00E2110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4C2E37"/>
    <w:pPr>
      <w:spacing w:before="240" w:line="259" w:lineRule="auto"/>
      <w:outlineLvl w:val="9"/>
    </w:pPr>
    <w:rPr>
      <w:b w:val="0"/>
      <w:bCs w:val="0"/>
      <w:sz w:val="32"/>
      <w:szCs w:val="32"/>
      <w:lang w:eastAsia="es-CR"/>
    </w:rPr>
  </w:style>
  <w:style w:type="paragraph" w:styleId="TDC1">
    <w:name w:val="toc 1"/>
    <w:basedOn w:val="Normal"/>
    <w:next w:val="Normal"/>
    <w:autoRedefine/>
    <w:uiPriority w:val="39"/>
    <w:unhideWhenUsed/>
    <w:rsid w:val="004C2E37"/>
    <w:pPr>
      <w:spacing w:after="100"/>
    </w:pPr>
  </w:style>
  <w:style w:type="character" w:styleId="Hipervnculo">
    <w:name w:val="Hyperlink"/>
    <w:basedOn w:val="Fuentedeprrafopredeter"/>
    <w:uiPriority w:val="99"/>
    <w:unhideWhenUsed/>
    <w:rsid w:val="004C2E37"/>
    <w:rPr>
      <w:color w:val="0000FF" w:themeColor="hyperlink"/>
      <w:u w:val="single"/>
    </w:rPr>
  </w:style>
  <w:style w:type="paragraph" w:styleId="TDC2">
    <w:name w:val="toc 2"/>
    <w:basedOn w:val="Normal"/>
    <w:next w:val="Normal"/>
    <w:autoRedefine/>
    <w:uiPriority w:val="39"/>
    <w:unhideWhenUsed/>
    <w:rsid w:val="004C2E37"/>
    <w:pPr>
      <w:spacing w:after="100" w:line="259" w:lineRule="auto"/>
      <w:ind w:left="220"/>
    </w:pPr>
    <w:rPr>
      <w:rFonts w:eastAsiaTheme="minorEastAsia" w:cs="Times New Roman"/>
      <w:lang w:eastAsia="es-CR"/>
    </w:rPr>
  </w:style>
  <w:style w:type="paragraph" w:styleId="TDC3">
    <w:name w:val="toc 3"/>
    <w:basedOn w:val="Normal"/>
    <w:next w:val="Normal"/>
    <w:autoRedefine/>
    <w:uiPriority w:val="39"/>
    <w:unhideWhenUsed/>
    <w:rsid w:val="004C2E37"/>
    <w:pPr>
      <w:spacing w:after="100" w:line="259" w:lineRule="auto"/>
      <w:ind w:left="440"/>
    </w:pPr>
    <w:rPr>
      <w:rFonts w:eastAsiaTheme="minorEastAsia"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370641">
      <w:bodyDiv w:val="1"/>
      <w:marLeft w:val="0"/>
      <w:marRight w:val="0"/>
      <w:marTop w:val="0"/>
      <w:marBottom w:val="0"/>
      <w:divBdr>
        <w:top w:val="none" w:sz="0" w:space="0" w:color="auto"/>
        <w:left w:val="none" w:sz="0" w:space="0" w:color="auto"/>
        <w:bottom w:val="none" w:sz="0" w:space="0" w:color="auto"/>
        <w:right w:val="none" w:sz="0" w:space="0" w:color="auto"/>
      </w:divBdr>
    </w:div>
    <w:div w:id="770323725">
      <w:bodyDiv w:val="1"/>
      <w:marLeft w:val="0"/>
      <w:marRight w:val="0"/>
      <w:marTop w:val="0"/>
      <w:marBottom w:val="0"/>
      <w:divBdr>
        <w:top w:val="none" w:sz="0" w:space="0" w:color="auto"/>
        <w:left w:val="none" w:sz="0" w:space="0" w:color="auto"/>
        <w:bottom w:val="none" w:sz="0" w:space="0" w:color="auto"/>
        <w:right w:val="none" w:sz="0" w:space="0" w:color="auto"/>
      </w:divBdr>
    </w:div>
    <w:div w:id="164188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diagramDrawing" Target="diagrams/drawing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radarChart>
        <c:radarStyle val="marker"/>
        <c:varyColors val="0"/>
        <c:ser>
          <c:idx val="0"/>
          <c:order val="0"/>
          <c:cat>
            <c:strRef>
              <c:f>FCE!$B$10:$B$13</c:f>
              <c:strCache>
                <c:ptCount val="4"/>
                <c:pt idx="0">
                  <c:v>Oferta académica </c:v>
                </c:pt>
                <c:pt idx="1">
                  <c:v>Investigación y extensión</c:v>
                </c:pt>
                <c:pt idx="2">
                  <c:v>Desarrollo del talentos y capacidades </c:v>
                </c:pt>
                <c:pt idx="3">
                  <c:v>Mejora continua</c:v>
                </c:pt>
              </c:strCache>
            </c:strRef>
          </c:cat>
          <c:val>
            <c:numRef>
              <c:f>FCE!$C$10:$C$13</c:f>
              <c:numCache>
                <c:formatCode>General</c:formatCode>
                <c:ptCount val="4"/>
              </c:numCache>
            </c:numRef>
          </c:val>
          <c:extLst xmlns:c16r2="http://schemas.microsoft.com/office/drawing/2015/06/chart">
            <c:ext xmlns:c16="http://schemas.microsoft.com/office/drawing/2014/chart" uri="{C3380CC4-5D6E-409C-BE32-E72D297353CC}">
              <c16:uniqueId val="{00000000-D84C-4992-892A-E0739918CE6B}"/>
            </c:ext>
          </c:extLst>
        </c:ser>
        <c:ser>
          <c:idx val="1"/>
          <c:order val="1"/>
          <c:cat>
            <c:strRef>
              <c:f>FCE!$B$10:$B$13</c:f>
              <c:strCache>
                <c:ptCount val="4"/>
                <c:pt idx="0">
                  <c:v>Oferta académica </c:v>
                </c:pt>
                <c:pt idx="1">
                  <c:v>Investigación y extensión</c:v>
                </c:pt>
                <c:pt idx="2">
                  <c:v>Desarrollo del talentos y capacidades </c:v>
                </c:pt>
                <c:pt idx="3">
                  <c:v>Mejora continua</c:v>
                </c:pt>
              </c:strCache>
            </c:strRef>
          </c:cat>
          <c:val>
            <c:numRef>
              <c:f>FCE!$D$10:$D$13</c:f>
              <c:numCache>
                <c:formatCode>General</c:formatCode>
                <c:ptCount val="4"/>
              </c:numCache>
            </c:numRef>
          </c:val>
          <c:extLst xmlns:c16r2="http://schemas.microsoft.com/office/drawing/2015/06/chart">
            <c:ext xmlns:c16="http://schemas.microsoft.com/office/drawing/2014/chart" uri="{C3380CC4-5D6E-409C-BE32-E72D297353CC}">
              <c16:uniqueId val="{00000001-D84C-4992-892A-E0739918CE6B}"/>
            </c:ext>
          </c:extLst>
        </c:ser>
        <c:ser>
          <c:idx val="2"/>
          <c:order val="2"/>
          <c:cat>
            <c:strRef>
              <c:f>FCE!$B$10:$B$13</c:f>
              <c:strCache>
                <c:ptCount val="4"/>
                <c:pt idx="0">
                  <c:v>Oferta académica </c:v>
                </c:pt>
                <c:pt idx="1">
                  <c:v>Investigación y extensión</c:v>
                </c:pt>
                <c:pt idx="2">
                  <c:v>Desarrollo del talentos y capacidades </c:v>
                </c:pt>
                <c:pt idx="3">
                  <c:v>Mejora continua</c:v>
                </c:pt>
              </c:strCache>
            </c:strRef>
          </c:cat>
          <c:val>
            <c:numRef>
              <c:f>FCE!$E$10:$E$13</c:f>
              <c:numCache>
                <c:formatCode>General</c:formatCode>
                <c:ptCount val="4"/>
              </c:numCache>
            </c:numRef>
          </c:val>
          <c:extLst xmlns:c16r2="http://schemas.microsoft.com/office/drawing/2015/06/chart">
            <c:ext xmlns:c16="http://schemas.microsoft.com/office/drawing/2014/chart" uri="{C3380CC4-5D6E-409C-BE32-E72D297353CC}">
              <c16:uniqueId val="{00000002-D84C-4992-892A-E0739918CE6B}"/>
            </c:ext>
          </c:extLst>
        </c:ser>
        <c:ser>
          <c:idx val="3"/>
          <c:order val="3"/>
          <c:cat>
            <c:strRef>
              <c:f>FCE!$B$10:$B$13</c:f>
              <c:strCache>
                <c:ptCount val="4"/>
                <c:pt idx="0">
                  <c:v>Oferta académica </c:v>
                </c:pt>
                <c:pt idx="1">
                  <c:v>Investigación y extensión</c:v>
                </c:pt>
                <c:pt idx="2">
                  <c:v>Desarrollo del talentos y capacidades </c:v>
                </c:pt>
                <c:pt idx="3">
                  <c:v>Mejora continua</c:v>
                </c:pt>
              </c:strCache>
            </c:strRef>
          </c:cat>
          <c:val>
            <c:numRef>
              <c:f>FCE!$F$10:$F$13</c:f>
              <c:numCache>
                <c:formatCode>General</c:formatCode>
                <c:ptCount val="4"/>
              </c:numCache>
            </c:numRef>
          </c:val>
          <c:extLst xmlns:c16r2="http://schemas.microsoft.com/office/drawing/2015/06/chart">
            <c:ext xmlns:c16="http://schemas.microsoft.com/office/drawing/2014/chart" uri="{C3380CC4-5D6E-409C-BE32-E72D297353CC}">
              <c16:uniqueId val="{00000003-D84C-4992-892A-E0739918CE6B}"/>
            </c:ext>
          </c:extLst>
        </c:ser>
        <c:ser>
          <c:idx val="4"/>
          <c:order val="4"/>
          <c:cat>
            <c:strRef>
              <c:f>FCE!$B$10:$B$13</c:f>
              <c:strCache>
                <c:ptCount val="4"/>
                <c:pt idx="0">
                  <c:v>Oferta académica </c:v>
                </c:pt>
                <c:pt idx="1">
                  <c:v>Investigación y extensión</c:v>
                </c:pt>
                <c:pt idx="2">
                  <c:v>Desarrollo del talentos y capacidades </c:v>
                </c:pt>
                <c:pt idx="3">
                  <c:v>Mejora continua</c:v>
                </c:pt>
              </c:strCache>
            </c:strRef>
          </c:cat>
          <c:val>
            <c:numRef>
              <c:f>FCE!$G$10:$G$13</c:f>
              <c:numCache>
                <c:formatCode>0.00</c:formatCode>
                <c:ptCount val="4"/>
                <c:pt idx="0">
                  <c:v>4</c:v>
                </c:pt>
                <c:pt idx="1">
                  <c:v>2</c:v>
                </c:pt>
                <c:pt idx="2">
                  <c:v>1</c:v>
                </c:pt>
                <c:pt idx="3">
                  <c:v>3</c:v>
                </c:pt>
              </c:numCache>
            </c:numRef>
          </c:val>
          <c:extLst xmlns:c16r2="http://schemas.microsoft.com/office/drawing/2015/06/chart">
            <c:ext xmlns:c16="http://schemas.microsoft.com/office/drawing/2014/chart" uri="{C3380CC4-5D6E-409C-BE32-E72D297353CC}">
              <c16:uniqueId val="{00000004-D84C-4992-892A-E0739918CE6B}"/>
            </c:ext>
          </c:extLst>
        </c:ser>
        <c:ser>
          <c:idx val="5"/>
          <c:order val="5"/>
          <c:cat>
            <c:strRef>
              <c:f>FCE!$B$10:$B$13</c:f>
              <c:strCache>
                <c:ptCount val="4"/>
                <c:pt idx="0">
                  <c:v>Oferta académica </c:v>
                </c:pt>
                <c:pt idx="1">
                  <c:v>Investigación y extensión</c:v>
                </c:pt>
                <c:pt idx="2">
                  <c:v>Desarrollo del talentos y capacidades </c:v>
                </c:pt>
                <c:pt idx="3">
                  <c:v>Mejora continua</c:v>
                </c:pt>
              </c:strCache>
            </c:strRef>
          </c:cat>
          <c:val>
            <c:numRef>
              <c:f>FCE!$H$10:$H$13</c:f>
              <c:numCache>
                <c:formatCode>0.00</c:formatCode>
                <c:ptCount val="4"/>
                <c:pt idx="0">
                  <c:v>5</c:v>
                </c:pt>
                <c:pt idx="1">
                  <c:v>3</c:v>
                </c:pt>
                <c:pt idx="2">
                  <c:v>4</c:v>
                </c:pt>
                <c:pt idx="3">
                  <c:v>5</c:v>
                </c:pt>
              </c:numCache>
            </c:numRef>
          </c:val>
          <c:extLst xmlns:c16r2="http://schemas.microsoft.com/office/drawing/2015/06/chart">
            <c:ext xmlns:c16="http://schemas.microsoft.com/office/drawing/2014/chart" uri="{C3380CC4-5D6E-409C-BE32-E72D297353CC}">
              <c16:uniqueId val="{00000005-D84C-4992-892A-E0739918CE6B}"/>
            </c:ext>
          </c:extLst>
        </c:ser>
        <c:dLbls>
          <c:showLegendKey val="0"/>
          <c:showVal val="0"/>
          <c:showCatName val="0"/>
          <c:showSerName val="0"/>
          <c:showPercent val="0"/>
          <c:showBubbleSize val="0"/>
        </c:dLbls>
        <c:axId val="1798168320"/>
        <c:axId val="1798172672"/>
      </c:radarChart>
      <c:catAx>
        <c:axId val="1798168320"/>
        <c:scaling>
          <c:orientation val="minMax"/>
        </c:scaling>
        <c:delete val="0"/>
        <c:axPos val="b"/>
        <c:majorGridlines/>
        <c:numFmt formatCode="General" sourceLinked="1"/>
        <c:majorTickMark val="none"/>
        <c:minorTickMark val="none"/>
        <c:tickLblPos val="nextTo"/>
        <c:spPr>
          <a:ln w="9525">
            <a:noFill/>
          </a:ln>
        </c:spPr>
        <c:txPr>
          <a:bodyPr rot="0" vert="horz"/>
          <a:lstStyle/>
          <a:p>
            <a:pPr>
              <a:defRPr lang="es-CR"/>
            </a:pPr>
            <a:endParaRPr lang="es-CR"/>
          </a:p>
        </c:txPr>
        <c:crossAx val="1798172672"/>
        <c:crosses val="autoZero"/>
        <c:auto val="0"/>
        <c:lblAlgn val="ctr"/>
        <c:lblOffset val="100"/>
        <c:noMultiLvlLbl val="0"/>
      </c:catAx>
      <c:valAx>
        <c:axId val="1798172672"/>
        <c:scaling>
          <c:orientation val="minMax"/>
        </c:scaling>
        <c:delete val="0"/>
        <c:axPos val="l"/>
        <c:majorGridlines/>
        <c:numFmt formatCode="General" sourceLinked="1"/>
        <c:majorTickMark val="none"/>
        <c:minorTickMark val="none"/>
        <c:tickLblPos val="nextTo"/>
        <c:txPr>
          <a:bodyPr rot="0" vert="horz"/>
          <a:lstStyle/>
          <a:p>
            <a:pPr>
              <a:defRPr lang="es-CR"/>
            </a:pPr>
            <a:endParaRPr lang="es-CR"/>
          </a:p>
        </c:txPr>
        <c:crossAx val="1798168320"/>
        <c:crosses val="autoZero"/>
        <c:crossBetween val="between"/>
      </c:valAx>
    </c:plotArea>
    <c:plotVisOnly val="1"/>
    <c:dispBlanksAs val="gap"/>
    <c:showDLblsOverMax val="0"/>
  </c:chart>
  <c:spPr>
    <a:ln>
      <a:noFill/>
    </a:ln>
  </c:spPr>
  <c:txPr>
    <a:bodyPr/>
    <a:lstStyle/>
    <a:p>
      <a:pPr>
        <a:defRPr sz="1200"/>
      </a:pPr>
      <a:endParaRPr lang="es-C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EEE154-8A50-4BCB-94EB-2410AED1C8B9}" type="doc">
      <dgm:prSet loTypeId="urn:microsoft.com/office/officeart/2005/8/layout/process2" loCatId="process" qsTypeId="urn:microsoft.com/office/officeart/2005/8/quickstyle/simple1" qsCatId="simple" csTypeId="urn:microsoft.com/office/officeart/2005/8/colors/colorful3" csCatId="colorful" phldr="1"/>
      <dgm:spPr/>
    </dgm:pt>
    <dgm:pt modelId="{FDB30DE8-B5B3-4D3E-9C8D-54B291EAF1B4}">
      <dgm:prSet phldrT="[Texto]" custT="1"/>
      <dgm:spPr/>
      <dgm:t>
        <a:bodyPr/>
        <a:lstStyle/>
        <a:p>
          <a:pPr algn="just"/>
          <a:r>
            <a:rPr lang="es-CR" sz="1050"/>
            <a:t>La identificación de fuerzas actuales que actúan sobre el CUC (FODAL).</a:t>
          </a:r>
        </a:p>
      </dgm:t>
    </dgm:pt>
    <dgm:pt modelId="{539BCF3B-24DE-47D9-BE1B-86A5956C6519}" type="parTrans" cxnId="{B8FE521D-C814-41E2-8AAE-B3573B435F20}">
      <dgm:prSet/>
      <dgm:spPr/>
      <dgm:t>
        <a:bodyPr/>
        <a:lstStyle/>
        <a:p>
          <a:pPr algn="just"/>
          <a:endParaRPr lang="es-CR" sz="1050"/>
        </a:p>
      </dgm:t>
    </dgm:pt>
    <dgm:pt modelId="{DB176874-547D-49AE-A2BC-61C189C7BF75}" type="sibTrans" cxnId="{B8FE521D-C814-41E2-8AAE-B3573B435F20}">
      <dgm:prSet custT="1"/>
      <dgm:spPr/>
      <dgm:t>
        <a:bodyPr/>
        <a:lstStyle/>
        <a:p>
          <a:pPr algn="just"/>
          <a:endParaRPr lang="es-CR" sz="1050"/>
        </a:p>
      </dgm:t>
    </dgm:pt>
    <dgm:pt modelId="{045D3FDF-67EA-4E63-A61A-564D6A5FE3F2}">
      <dgm:prSet custT="1"/>
      <dgm:spPr/>
      <dgm:t>
        <a:bodyPr/>
        <a:lstStyle/>
        <a:p>
          <a:pPr algn="ctr"/>
          <a:r>
            <a:rPr lang="es-CR" sz="1050"/>
            <a:t>El posicionamiento estratégico actual del CUC en el mercado.</a:t>
          </a:r>
        </a:p>
      </dgm:t>
    </dgm:pt>
    <dgm:pt modelId="{8BED2A6C-1EBA-4BB5-8CAA-2F737111D428}" type="parTrans" cxnId="{2E20133B-E0ED-4B5F-B53B-602CABF525EB}">
      <dgm:prSet/>
      <dgm:spPr/>
      <dgm:t>
        <a:bodyPr/>
        <a:lstStyle/>
        <a:p>
          <a:pPr algn="just"/>
          <a:endParaRPr lang="es-CR" sz="1050"/>
        </a:p>
      </dgm:t>
    </dgm:pt>
    <dgm:pt modelId="{8C59A65B-E21C-4C77-8A5C-6F5BF8BCF190}" type="sibTrans" cxnId="{2E20133B-E0ED-4B5F-B53B-602CABF525EB}">
      <dgm:prSet custT="1"/>
      <dgm:spPr/>
      <dgm:t>
        <a:bodyPr/>
        <a:lstStyle/>
        <a:p>
          <a:pPr algn="just"/>
          <a:endParaRPr lang="es-CR" sz="1050"/>
        </a:p>
      </dgm:t>
    </dgm:pt>
    <dgm:pt modelId="{4D11D59D-6CBF-4147-BAC8-1678A1857A96}">
      <dgm:prSet custT="1"/>
      <dgm:spPr/>
      <dgm:t>
        <a:bodyPr/>
        <a:lstStyle/>
        <a:p>
          <a:pPr algn="just"/>
          <a:r>
            <a:rPr lang="es-CR" sz="1050"/>
            <a:t>Los lineamientos estratégicos enfocados en los factores claves para el éxito del CUC (Matriz DAFO)</a:t>
          </a:r>
        </a:p>
      </dgm:t>
    </dgm:pt>
    <dgm:pt modelId="{AAE9B8D4-1D69-4AE9-9558-C53F1D9EA666}" type="parTrans" cxnId="{A523D124-F632-4AB6-85D1-5697C5841A81}">
      <dgm:prSet/>
      <dgm:spPr/>
      <dgm:t>
        <a:bodyPr/>
        <a:lstStyle/>
        <a:p>
          <a:pPr algn="just"/>
          <a:endParaRPr lang="es-CR" sz="1050"/>
        </a:p>
      </dgm:t>
    </dgm:pt>
    <dgm:pt modelId="{34D3D7BF-C475-42F5-847C-9B083F186310}" type="sibTrans" cxnId="{A523D124-F632-4AB6-85D1-5697C5841A81}">
      <dgm:prSet custT="1"/>
      <dgm:spPr/>
      <dgm:t>
        <a:bodyPr/>
        <a:lstStyle/>
        <a:p>
          <a:pPr algn="just"/>
          <a:endParaRPr lang="es-CR" sz="1050"/>
        </a:p>
      </dgm:t>
    </dgm:pt>
    <dgm:pt modelId="{08CF0235-24E9-49F3-B6DF-ACB23D8BFD20}">
      <dgm:prSet custT="1"/>
      <dgm:spPr/>
      <dgm:t>
        <a:bodyPr/>
        <a:lstStyle/>
        <a:p>
          <a:pPr algn="just"/>
          <a:r>
            <a:rPr lang="es-CR" sz="1050"/>
            <a:t>La misión, visión, valores estratégicos y valores conductuales asociados.</a:t>
          </a:r>
        </a:p>
      </dgm:t>
    </dgm:pt>
    <dgm:pt modelId="{655D9FA6-0907-4E08-9C03-9F506A3605F8}" type="parTrans" cxnId="{283AF238-8681-4F07-B998-7FC8A89B44D9}">
      <dgm:prSet/>
      <dgm:spPr/>
      <dgm:t>
        <a:bodyPr/>
        <a:lstStyle/>
        <a:p>
          <a:pPr algn="just"/>
          <a:endParaRPr lang="es-CR" sz="1050"/>
        </a:p>
      </dgm:t>
    </dgm:pt>
    <dgm:pt modelId="{2B73EC61-84A4-4C4A-ABA9-F191B45469D7}" type="sibTrans" cxnId="{283AF238-8681-4F07-B998-7FC8A89B44D9}">
      <dgm:prSet custT="1"/>
      <dgm:spPr/>
      <dgm:t>
        <a:bodyPr/>
        <a:lstStyle/>
        <a:p>
          <a:pPr algn="just"/>
          <a:endParaRPr lang="es-CR" sz="1050"/>
        </a:p>
      </dgm:t>
    </dgm:pt>
    <dgm:pt modelId="{5B3AC568-43B7-443C-B1FD-B174060890C0}">
      <dgm:prSet custT="1"/>
      <dgm:spPr/>
      <dgm:t>
        <a:bodyPr/>
        <a:lstStyle/>
        <a:p>
          <a:pPr algn="just"/>
          <a:r>
            <a:rPr lang="es-CR" sz="1050"/>
            <a:t>La definición de objetivos estratégicos basados en las perspectivas del Cuadro de Mando Integral, metodología de Kaplan y Norton.</a:t>
          </a:r>
        </a:p>
      </dgm:t>
    </dgm:pt>
    <dgm:pt modelId="{099F504D-972E-4C6C-A8F2-9B43B7611FB9}" type="parTrans" cxnId="{F6AC6D97-382C-47C5-A616-7794F95FBB14}">
      <dgm:prSet/>
      <dgm:spPr/>
      <dgm:t>
        <a:bodyPr/>
        <a:lstStyle/>
        <a:p>
          <a:pPr algn="just"/>
          <a:endParaRPr lang="es-CR" sz="1050"/>
        </a:p>
      </dgm:t>
    </dgm:pt>
    <dgm:pt modelId="{E461B302-550D-4E7D-BDE4-5A783B2E933B}" type="sibTrans" cxnId="{F6AC6D97-382C-47C5-A616-7794F95FBB14}">
      <dgm:prSet custT="1"/>
      <dgm:spPr/>
      <dgm:t>
        <a:bodyPr/>
        <a:lstStyle/>
        <a:p>
          <a:pPr algn="just"/>
          <a:endParaRPr lang="es-CR" sz="1050"/>
        </a:p>
      </dgm:t>
    </dgm:pt>
    <dgm:pt modelId="{AECF91D3-A62F-4104-B36A-D27717A09A7A}">
      <dgm:prSet custT="1"/>
      <dgm:spPr/>
      <dgm:t>
        <a:bodyPr/>
        <a:lstStyle/>
        <a:p>
          <a:pPr algn="just"/>
          <a:r>
            <a:rPr lang="es-CR" sz="1050"/>
            <a:t>La construcción del mapa estratégico que relaciona misión, visión, valores estratégicos y conductuales con las perspectivas, ejes y objetivos estratégicos mediante relaciones causa-efecto.</a:t>
          </a:r>
        </a:p>
      </dgm:t>
    </dgm:pt>
    <dgm:pt modelId="{8E0D41E5-6E53-42CD-8485-2ADAA34AF093}" type="parTrans" cxnId="{D518E79B-5325-4624-AD24-65C0150058D4}">
      <dgm:prSet/>
      <dgm:spPr/>
      <dgm:t>
        <a:bodyPr/>
        <a:lstStyle/>
        <a:p>
          <a:pPr algn="just"/>
          <a:endParaRPr lang="es-CR" sz="1050"/>
        </a:p>
      </dgm:t>
    </dgm:pt>
    <dgm:pt modelId="{26FE48DB-D6B1-4A44-913E-4040A4183F70}" type="sibTrans" cxnId="{D518E79B-5325-4624-AD24-65C0150058D4}">
      <dgm:prSet custT="1"/>
      <dgm:spPr/>
      <dgm:t>
        <a:bodyPr/>
        <a:lstStyle/>
        <a:p>
          <a:pPr algn="just"/>
          <a:endParaRPr lang="es-CR" sz="1050"/>
        </a:p>
      </dgm:t>
    </dgm:pt>
    <dgm:pt modelId="{B258208C-7B1E-4D0C-AFED-599E4475DB8D}">
      <dgm:prSet custT="1"/>
      <dgm:spPr/>
      <dgm:t>
        <a:bodyPr/>
        <a:lstStyle/>
        <a:p>
          <a:pPr algn="just"/>
          <a:r>
            <a:rPr lang="es-CR" sz="1050"/>
            <a:t>El Establecimiento de Indicadores estratégicos de gestión y de resultado, definiendo indicador, formula, meta (línea base) y responsable de cumplimiento</a:t>
          </a:r>
        </a:p>
      </dgm:t>
    </dgm:pt>
    <dgm:pt modelId="{4390659C-B5C8-4E8C-A6A1-F4301DCA3B46}" type="parTrans" cxnId="{D0CDBEE6-A603-4440-9313-B7D0D55A1714}">
      <dgm:prSet/>
      <dgm:spPr/>
      <dgm:t>
        <a:bodyPr/>
        <a:lstStyle/>
        <a:p>
          <a:pPr algn="just"/>
          <a:endParaRPr lang="es-CR" sz="1050"/>
        </a:p>
      </dgm:t>
    </dgm:pt>
    <dgm:pt modelId="{394E73EC-5731-48D3-9BC7-3943C1A53F51}" type="sibTrans" cxnId="{D0CDBEE6-A603-4440-9313-B7D0D55A1714}">
      <dgm:prSet custT="1"/>
      <dgm:spPr/>
      <dgm:t>
        <a:bodyPr/>
        <a:lstStyle/>
        <a:p>
          <a:pPr algn="just"/>
          <a:endParaRPr lang="es-CR" sz="1050"/>
        </a:p>
      </dgm:t>
    </dgm:pt>
    <dgm:pt modelId="{87044111-F4CE-43E0-BE4E-EC6D4AC0D7CC}">
      <dgm:prSet custT="1"/>
      <dgm:spPr/>
      <dgm:t>
        <a:bodyPr/>
        <a:lstStyle/>
        <a:p>
          <a:pPr algn="just"/>
          <a:r>
            <a:rPr lang="es-CR" sz="1050"/>
            <a:t>La Definición de acciones estratégicas a partir de los objetivos estratégicas establecidos.</a:t>
          </a:r>
        </a:p>
      </dgm:t>
    </dgm:pt>
    <dgm:pt modelId="{EDEE4044-8AA1-4155-8611-BEB075B30EE3}" type="parTrans" cxnId="{3C571C1F-FBF6-4180-A238-139DD3251A6A}">
      <dgm:prSet/>
      <dgm:spPr/>
      <dgm:t>
        <a:bodyPr/>
        <a:lstStyle/>
        <a:p>
          <a:pPr algn="just"/>
          <a:endParaRPr lang="es-CR" sz="1050"/>
        </a:p>
      </dgm:t>
    </dgm:pt>
    <dgm:pt modelId="{067AD327-33C7-4150-B6DC-372A84050653}" type="sibTrans" cxnId="{3C571C1F-FBF6-4180-A238-139DD3251A6A}">
      <dgm:prSet custT="1"/>
      <dgm:spPr/>
      <dgm:t>
        <a:bodyPr/>
        <a:lstStyle/>
        <a:p>
          <a:pPr algn="just"/>
          <a:endParaRPr lang="es-CR" sz="1050"/>
        </a:p>
      </dgm:t>
    </dgm:pt>
    <dgm:pt modelId="{ED55EB21-F5B5-475F-8DAE-932BF7220045}">
      <dgm:prSet custT="1"/>
      <dgm:spPr/>
      <dgm:t>
        <a:bodyPr/>
        <a:lstStyle/>
        <a:p>
          <a:pPr algn="just"/>
          <a:r>
            <a:rPr lang="es-CR" sz="1050"/>
            <a:t>La recomendación de los planes tácticos que se podrían desarrollar para alcanzar los objetivos estratégicos planteados.</a:t>
          </a:r>
        </a:p>
      </dgm:t>
    </dgm:pt>
    <dgm:pt modelId="{A10D7024-C112-479A-8C83-6563835CDE38}" type="parTrans" cxnId="{9F6373E9-8931-4803-B568-026BBD22A9A3}">
      <dgm:prSet/>
      <dgm:spPr/>
      <dgm:t>
        <a:bodyPr/>
        <a:lstStyle/>
        <a:p>
          <a:pPr algn="just"/>
          <a:endParaRPr lang="es-CR" sz="1050"/>
        </a:p>
      </dgm:t>
    </dgm:pt>
    <dgm:pt modelId="{BE9EAAEA-7BB6-4511-B2CC-F8852554045E}" type="sibTrans" cxnId="{9F6373E9-8931-4803-B568-026BBD22A9A3}">
      <dgm:prSet/>
      <dgm:spPr/>
      <dgm:t>
        <a:bodyPr/>
        <a:lstStyle/>
        <a:p>
          <a:pPr algn="just"/>
          <a:endParaRPr lang="es-CR" sz="1050"/>
        </a:p>
      </dgm:t>
    </dgm:pt>
    <dgm:pt modelId="{070A457B-9C50-4070-B014-7004023FB40F}" type="pres">
      <dgm:prSet presAssocID="{34EEE154-8A50-4BCB-94EB-2410AED1C8B9}" presName="linearFlow" presStyleCnt="0">
        <dgm:presLayoutVars>
          <dgm:resizeHandles val="exact"/>
        </dgm:presLayoutVars>
      </dgm:prSet>
      <dgm:spPr/>
    </dgm:pt>
    <dgm:pt modelId="{E5233262-83D7-4455-9357-CF35CBDEB8A3}" type="pres">
      <dgm:prSet presAssocID="{FDB30DE8-B5B3-4D3E-9C8D-54B291EAF1B4}" presName="node" presStyleLbl="node1" presStyleIdx="0" presStyleCnt="9" custScaleX="437362" custLinFactNeighborX="-4455" custLinFactNeighborY="-1588">
        <dgm:presLayoutVars>
          <dgm:bulletEnabled val="1"/>
        </dgm:presLayoutVars>
      </dgm:prSet>
      <dgm:spPr/>
      <dgm:t>
        <a:bodyPr/>
        <a:lstStyle/>
        <a:p>
          <a:endParaRPr lang="es-CR"/>
        </a:p>
      </dgm:t>
    </dgm:pt>
    <dgm:pt modelId="{E1768CA2-474F-45FA-B525-C860FF4DB6D3}" type="pres">
      <dgm:prSet presAssocID="{DB176874-547D-49AE-A2BC-61C189C7BF75}" presName="sibTrans" presStyleLbl="sibTrans2D1" presStyleIdx="0" presStyleCnt="8"/>
      <dgm:spPr/>
      <dgm:t>
        <a:bodyPr/>
        <a:lstStyle/>
        <a:p>
          <a:endParaRPr lang="es-CR"/>
        </a:p>
      </dgm:t>
    </dgm:pt>
    <dgm:pt modelId="{E1ED2F38-508B-420D-9941-9ABF1BA59671}" type="pres">
      <dgm:prSet presAssocID="{DB176874-547D-49AE-A2BC-61C189C7BF75}" presName="connectorText" presStyleLbl="sibTrans2D1" presStyleIdx="0" presStyleCnt="8"/>
      <dgm:spPr/>
      <dgm:t>
        <a:bodyPr/>
        <a:lstStyle/>
        <a:p>
          <a:endParaRPr lang="es-CR"/>
        </a:p>
      </dgm:t>
    </dgm:pt>
    <dgm:pt modelId="{7735A284-441B-4D91-89FE-C503C0EB546E}" type="pres">
      <dgm:prSet presAssocID="{045D3FDF-67EA-4E63-A61A-564D6A5FE3F2}" presName="node" presStyleLbl="node1" presStyleIdx="1" presStyleCnt="9" custScaleX="437362">
        <dgm:presLayoutVars>
          <dgm:bulletEnabled val="1"/>
        </dgm:presLayoutVars>
      </dgm:prSet>
      <dgm:spPr/>
      <dgm:t>
        <a:bodyPr/>
        <a:lstStyle/>
        <a:p>
          <a:endParaRPr lang="es-CR"/>
        </a:p>
      </dgm:t>
    </dgm:pt>
    <dgm:pt modelId="{D3015824-6254-4FFD-B95D-FE317779363C}" type="pres">
      <dgm:prSet presAssocID="{8C59A65B-E21C-4C77-8A5C-6F5BF8BCF190}" presName="sibTrans" presStyleLbl="sibTrans2D1" presStyleIdx="1" presStyleCnt="8"/>
      <dgm:spPr/>
      <dgm:t>
        <a:bodyPr/>
        <a:lstStyle/>
        <a:p>
          <a:endParaRPr lang="es-CR"/>
        </a:p>
      </dgm:t>
    </dgm:pt>
    <dgm:pt modelId="{00738A29-6E8B-4022-A825-B0E62FE23ACA}" type="pres">
      <dgm:prSet presAssocID="{8C59A65B-E21C-4C77-8A5C-6F5BF8BCF190}" presName="connectorText" presStyleLbl="sibTrans2D1" presStyleIdx="1" presStyleCnt="8"/>
      <dgm:spPr/>
      <dgm:t>
        <a:bodyPr/>
        <a:lstStyle/>
        <a:p>
          <a:endParaRPr lang="es-CR"/>
        </a:p>
      </dgm:t>
    </dgm:pt>
    <dgm:pt modelId="{0F43B6D4-6AC2-4312-A09A-433FD5E57A7E}" type="pres">
      <dgm:prSet presAssocID="{4D11D59D-6CBF-4147-BAC8-1678A1857A96}" presName="node" presStyleLbl="node1" presStyleIdx="2" presStyleCnt="9" custScaleX="437362">
        <dgm:presLayoutVars>
          <dgm:bulletEnabled val="1"/>
        </dgm:presLayoutVars>
      </dgm:prSet>
      <dgm:spPr/>
      <dgm:t>
        <a:bodyPr/>
        <a:lstStyle/>
        <a:p>
          <a:endParaRPr lang="es-CR"/>
        </a:p>
      </dgm:t>
    </dgm:pt>
    <dgm:pt modelId="{EBF02C73-3274-4CE9-89F8-D4466A0A1730}" type="pres">
      <dgm:prSet presAssocID="{34D3D7BF-C475-42F5-847C-9B083F186310}" presName="sibTrans" presStyleLbl="sibTrans2D1" presStyleIdx="2" presStyleCnt="8"/>
      <dgm:spPr/>
      <dgm:t>
        <a:bodyPr/>
        <a:lstStyle/>
        <a:p>
          <a:endParaRPr lang="es-CR"/>
        </a:p>
      </dgm:t>
    </dgm:pt>
    <dgm:pt modelId="{0FFECB85-B8D9-4ABE-864D-11C856C589B2}" type="pres">
      <dgm:prSet presAssocID="{34D3D7BF-C475-42F5-847C-9B083F186310}" presName="connectorText" presStyleLbl="sibTrans2D1" presStyleIdx="2" presStyleCnt="8"/>
      <dgm:spPr/>
      <dgm:t>
        <a:bodyPr/>
        <a:lstStyle/>
        <a:p>
          <a:endParaRPr lang="es-CR"/>
        </a:p>
      </dgm:t>
    </dgm:pt>
    <dgm:pt modelId="{F1C22EC8-DA5A-4058-8B08-1B50FCE13F5C}" type="pres">
      <dgm:prSet presAssocID="{08CF0235-24E9-49F3-B6DF-ACB23D8BFD20}" presName="node" presStyleLbl="node1" presStyleIdx="3" presStyleCnt="9" custScaleX="437362">
        <dgm:presLayoutVars>
          <dgm:bulletEnabled val="1"/>
        </dgm:presLayoutVars>
      </dgm:prSet>
      <dgm:spPr/>
      <dgm:t>
        <a:bodyPr/>
        <a:lstStyle/>
        <a:p>
          <a:endParaRPr lang="es-CR"/>
        </a:p>
      </dgm:t>
    </dgm:pt>
    <dgm:pt modelId="{3B565690-592E-4930-BBDB-EDD83BD6C163}" type="pres">
      <dgm:prSet presAssocID="{2B73EC61-84A4-4C4A-ABA9-F191B45469D7}" presName="sibTrans" presStyleLbl="sibTrans2D1" presStyleIdx="3" presStyleCnt="8"/>
      <dgm:spPr/>
      <dgm:t>
        <a:bodyPr/>
        <a:lstStyle/>
        <a:p>
          <a:endParaRPr lang="es-CR"/>
        </a:p>
      </dgm:t>
    </dgm:pt>
    <dgm:pt modelId="{57D77F96-4034-49FE-BDCD-D6396E20A6FA}" type="pres">
      <dgm:prSet presAssocID="{2B73EC61-84A4-4C4A-ABA9-F191B45469D7}" presName="connectorText" presStyleLbl="sibTrans2D1" presStyleIdx="3" presStyleCnt="8"/>
      <dgm:spPr/>
      <dgm:t>
        <a:bodyPr/>
        <a:lstStyle/>
        <a:p>
          <a:endParaRPr lang="es-CR"/>
        </a:p>
      </dgm:t>
    </dgm:pt>
    <dgm:pt modelId="{77E913ED-C224-45BD-9B5E-289165A10DAE}" type="pres">
      <dgm:prSet presAssocID="{5B3AC568-43B7-443C-B1FD-B174060890C0}" presName="node" presStyleLbl="node1" presStyleIdx="4" presStyleCnt="9" custScaleX="437362">
        <dgm:presLayoutVars>
          <dgm:bulletEnabled val="1"/>
        </dgm:presLayoutVars>
      </dgm:prSet>
      <dgm:spPr/>
      <dgm:t>
        <a:bodyPr/>
        <a:lstStyle/>
        <a:p>
          <a:endParaRPr lang="es-CR"/>
        </a:p>
      </dgm:t>
    </dgm:pt>
    <dgm:pt modelId="{EBE967F8-2D7B-4839-A1A4-8C2DFA97FE59}" type="pres">
      <dgm:prSet presAssocID="{E461B302-550D-4E7D-BDE4-5A783B2E933B}" presName="sibTrans" presStyleLbl="sibTrans2D1" presStyleIdx="4" presStyleCnt="8"/>
      <dgm:spPr/>
      <dgm:t>
        <a:bodyPr/>
        <a:lstStyle/>
        <a:p>
          <a:endParaRPr lang="es-CR"/>
        </a:p>
      </dgm:t>
    </dgm:pt>
    <dgm:pt modelId="{6DF8903A-6ACB-4F5D-AA54-3CE1FC650F11}" type="pres">
      <dgm:prSet presAssocID="{E461B302-550D-4E7D-BDE4-5A783B2E933B}" presName="connectorText" presStyleLbl="sibTrans2D1" presStyleIdx="4" presStyleCnt="8"/>
      <dgm:spPr/>
      <dgm:t>
        <a:bodyPr/>
        <a:lstStyle/>
        <a:p>
          <a:endParaRPr lang="es-CR"/>
        </a:p>
      </dgm:t>
    </dgm:pt>
    <dgm:pt modelId="{B7B16EF9-8365-4E8C-A02C-A4679A9E0A71}" type="pres">
      <dgm:prSet presAssocID="{AECF91D3-A62F-4104-B36A-D27717A09A7A}" presName="node" presStyleLbl="node1" presStyleIdx="5" presStyleCnt="9" custScaleX="437362">
        <dgm:presLayoutVars>
          <dgm:bulletEnabled val="1"/>
        </dgm:presLayoutVars>
      </dgm:prSet>
      <dgm:spPr/>
      <dgm:t>
        <a:bodyPr/>
        <a:lstStyle/>
        <a:p>
          <a:endParaRPr lang="es-CR"/>
        </a:p>
      </dgm:t>
    </dgm:pt>
    <dgm:pt modelId="{9F925200-8127-40FA-AD66-0AD1771788AE}" type="pres">
      <dgm:prSet presAssocID="{26FE48DB-D6B1-4A44-913E-4040A4183F70}" presName="sibTrans" presStyleLbl="sibTrans2D1" presStyleIdx="5" presStyleCnt="8"/>
      <dgm:spPr/>
      <dgm:t>
        <a:bodyPr/>
        <a:lstStyle/>
        <a:p>
          <a:endParaRPr lang="es-CR"/>
        </a:p>
      </dgm:t>
    </dgm:pt>
    <dgm:pt modelId="{94A70B40-1E23-40A4-9B01-F0449B9E4B67}" type="pres">
      <dgm:prSet presAssocID="{26FE48DB-D6B1-4A44-913E-4040A4183F70}" presName="connectorText" presStyleLbl="sibTrans2D1" presStyleIdx="5" presStyleCnt="8"/>
      <dgm:spPr/>
      <dgm:t>
        <a:bodyPr/>
        <a:lstStyle/>
        <a:p>
          <a:endParaRPr lang="es-CR"/>
        </a:p>
      </dgm:t>
    </dgm:pt>
    <dgm:pt modelId="{110D4B80-4106-42C7-AC9F-1A649C305F2A}" type="pres">
      <dgm:prSet presAssocID="{B258208C-7B1E-4D0C-AFED-599E4475DB8D}" presName="node" presStyleLbl="node1" presStyleIdx="6" presStyleCnt="9" custScaleX="437362">
        <dgm:presLayoutVars>
          <dgm:bulletEnabled val="1"/>
        </dgm:presLayoutVars>
      </dgm:prSet>
      <dgm:spPr/>
      <dgm:t>
        <a:bodyPr/>
        <a:lstStyle/>
        <a:p>
          <a:endParaRPr lang="es-CR"/>
        </a:p>
      </dgm:t>
    </dgm:pt>
    <dgm:pt modelId="{AEC0575E-9D20-4DE5-BBD9-224804971A8D}" type="pres">
      <dgm:prSet presAssocID="{394E73EC-5731-48D3-9BC7-3943C1A53F51}" presName="sibTrans" presStyleLbl="sibTrans2D1" presStyleIdx="6" presStyleCnt="8"/>
      <dgm:spPr/>
      <dgm:t>
        <a:bodyPr/>
        <a:lstStyle/>
        <a:p>
          <a:endParaRPr lang="es-CR"/>
        </a:p>
      </dgm:t>
    </dgm:pt>
    <dgm:pt modelId="{B7147FCC-87D7-4BAC-93F7-802CAA915927}" type="pres">
      <dgm:prSet presAssocID="{394E73EC-5731-48D3-9BC7-3943C1A53F51}" presName="connectorText" presStyleLbl="sibTrans2D1" presStyleIdx="6" presStyleCnt="8"/>
      <dgm:spPr/>
      <dgm:t>
        <a:bodyPr/>
        <a:lstStyle/>
        <a:p>
          <a:endParaRPr lang="es-CR"/>
        </a:p>
      </dgm:t>
    </dgm:pt>
    <dgm:pt modelId="{1C6160DE-C9E6-4434-BB1A-E8B1458A8DDC}" type="pres">
      <dgm:prSet presAssocID="{87044111-F4CE-43E0-BE4E-EC6D4AC0D7CC}" presName="node" presStyleLbl="node1" presStyleIdx="7" presStyleCnt="9" custScaleX="437362">
        <dgm:presLayoutVars>
          <dgm:bulletEnabled val="1"/>
        </dgm:presLayoutVars>
      </dgm:prSet>
      <dgm:spPr/>
      <dgm:t>
        <a:bodyPr/>
        <a:lstStyle/>
        <a:p>
          <a:endParaRPr lang="es-CR"/>
        </a:p>
      </dgm:t>
    </dgm:pt>
    <dgm:pt modelId="{9BBC4069-D0C2-4CEF-B1BD-35E1D5792C71}" type="pres">
      <dgm:prSet presAssocID="{067AD327-33C7-4150-B6DC-372A84050653}" presName="sibTrans" presStyleLbl="sibTrans2D1" presStyleIdx="7" presStyleCnt="8"/>
      <dgm:spPr/>
      <dgm:t>
        <a:bodyPr/>
        <a:lstStyle/>
        <a:p>
          <a:endParaRPr lang="es-CR"/>
        </a:p>
      </dgm:t>
    </dgm:pt>
    <dgm:pt modelId="{744BD94A-1961-4E04-A5D7-819EF91D875E}" type="pres">
      <dgm:prSet presAssocID="{067AD327-33C7-4150-B6DC-372A84050653}" presName="connectorText" presStyleLbl="sibTrans2D1" presStyleIdx="7" presStyleCnt="8"/>
      <dgm:spPr/>
      <dgm:t>
        <a:bodyPr/>
        <a:lstStyle/>
        <a:p>
          <a:endParaRPr lang="es-CR"/>
        </a:p>
      </dgm:t>
    </dgm:pt>
    <dgm:pt modelId="{3B34FCBB-CA05-4EA0-87A9-AAB3A94A53DB}" type="pres">
      <dgm:prSet presAssocID="{ED55EB21-F5B5-475F-8DAE-932BF7220045}" presName="node" presStyleLbl="node1" presStyleIdx="8" presStyleCnt="9" custScaleX="437362">
        <dgm:presLayoutVars>
          <dgm:bulletEnabled val="1"/>
        </dgm:presLayoutVars>
      </dgm:prSet>
      <dgm:spPr/>
      <dgm:t>
        <a:bodyPr/>
        <a:lstStyle/>
        <a:p>
          <a:endParaRPr lang="es-CR"/>
        </a:p>
      </dgm:t>
    </dgm:pt>
  </dgm:ptLst>
  <dgm:cxnLst>
    <dgm:cxn modelId="{9F6373E9-8931-4803-B568-026BBD22A9A3}" srcId="{34EEE154-8A50-4BCB-94EB-2410AED1C8B9}" destId="{ED55EB21-F5B5-475F-8DAE-932BF7220045}" srcOrd="8" destOrd="0" parTransId="{A10D7024-C112-479A-8C83-6563835CDE38}" sibTransId="{BE9EAAEA-7BB6-4511-B2CC-F8852554045E}"/>
    <dgm:cxn modelId="{FB7F1234-5ADF-4F9C-BA2C-4D30A73342A3}" type="presOf" srcId="{26FE48DB-D6B1-4A44-913E-4040A4183F70}" destId="{9F925200-8127-40FA-AD66-0AD1771788AE}" srcOrd="0" destOrd="0" presId="urn:microsoft.com/office/officeart/2005/8/layout/process2"/>
    <dgm:cxn modelId="{0BD42108-EF39-4646-85AE-DBDE66E0BB60}" type="presOf" srcId="{4D11D59D-6CBF-4147-BAC8-1678A1857A96}" destId="{0F43B6D4-6AC2-4312-A09A-433FD5E57A7E}" srcOrd="0" destOrd="0" presId="urn:microsoft.com/office/officeart/2005/8/layout/process2"/>
    <dgm:cxn modelId="{3C571C1F-FBF6-4180-A238-139DD3251A6A}" srcId="{34EEE154-8A50-4BCB-94EB-2410AED1C8B9}" destId="{87044111-F4CE-43E0-BE4E-EC6D4AC0D7CC}" srcOrd="7" destOrd="0" parTransId="{EDEE4044-8AA1-4155-8611-BEB075B30EE3}" sibTransId="{067AD327-33C7-4150-B6DC-372A84050653}"/>
    <dgm:cxn modelId="{C6457CA5-A071-4356-9F8B-B10542F294C2}" type="presOf" srcId="{DB176874-547D-49AE-A2BC-61C189C7BF75}" destId="{E1ED2F38-508B-420D-9941-9ABF1BA59671}" srcOrd="1" destOrd="0" presId="urn:microsoft.com/office/officeart/2005/8/layout/process2"/>
    <dgm:cxn modelId="{D518E79B-5325-4624-AD24-65C0150058D4}" srcId="{34EEE154-8A50-4BCB-94EB-2410AED1C8B9}" destId="{AECF91D3-A62F-4104-B36A-D27717A09A7A}" srcOrd="5" destOrd="0" parTransId="{8E0D41E5-6E53-42CD-8485-2ADAA34AF093}" sibTransId="{26FE48DB-D6B1-4A44-913E-4040A4183F70}"/>
    <dgm:cxn modelId="{B8FE521D-C814-41E2-8AAE-B3573B435F20}" srcId="{34EEE154-8A50-4BCB-94EB-2410AED1C8B9}" destId="{FDB30DE8-B5B3-4D3E-9C8D-54B291EAF1B4}" srcOrd="0" destOrd="0" parTransId="{539BCF3B-24DE-47D9-BE1B-86A5956C6519}" sibTransId="{DB176874-547D-49AE-A2BC-61C189C7BF75}"/>
    <dgm:cxn modelId="{4BBD20B1-D51E-4716-A51B-9088950E4F3E}" type="presOf" srcId="{2B73EC61-84A4-4C4A-ABA9-F191B45469D7}" destId="{57D77F96-4034-49FE-BDCD-D6396E20A6FA}" srcOrd="1" destOrd="0" presId="urn:microsoft.com/office/officeart/2005/8/layout/process2"/>
    <dgm:cxn modelId="{3C6D3374-4D24-42FC-9F66-F99E7BC1BD6C}" type="presOf" srcId="{B258208C-7B1E-4D0C-AFED-599E4475DB8D}" destId="{110D4B80-4106-42C7-AC9F-1A649C305F2A}" srcOrd="0" destOrd="0" presId="urn:microsoft.com/office/officeart/2005/8/layout/process2"/>
    <dgm:cxn modelId="{E038E052-9742-4946-8F09-8A6ACFAC3446}" type="presOf" srcId="{8C59A65B-E21C-4C77-8A5C-6F5BF8BCF190}" destId="{00738A29-6E8B-4022-A825-B0E62FE23ACA}" srcOrd="1" destOrd="0" presId="urn:microsoft.com/office/officeart/2005/8/layout/process2"/>
    <dgm:cxn modelId="{2320DFE4-A474-4115-AAB8-CAD7C6EA42CB}" type="presOf" srcId="{067AD327-33C7-4150-B6DC-372A84050653}" destId="{9BBC4069-D0C2-4CEF-B1BD-35E1D5792C71}" srcOrd="0" destOrd="0" presId="urn:microsoft.com/office/officeart/2005/8/layout/process2"/>
    <dgm:cxn modelId="{2E20133B-E0ED-4B5F-B53B-602CABF525EB}" srcId="{34EEE154-8A50-4BCB-94EB-2410AED1C8B9}" destId="{045D3FDF-67EA-4E63-A61A-564D6A5FE3F2}" srcOrd="1" destOrd="0" parTransId="{8BED2A6C-1EBA-4BB5-8CAA-2F737111D428}" sibTransId="{8C59A65B-E21C-4C77-8A5C-6F5BF8BCF190}"/>
    <dgm:cxn modelId="{5032E1B4-D719-417C-A017-EE2E93389C55}" type="presOf" srcId="{E461B302-550D-4E7D-BDE4-5A783B2E933B}" destId="{6DF8903A-6ACB-4F5D-AA54-3CE1FC650F11}" srcOrd="1" destOrd="0" presId="urn:microsoft.com/office/officeart/2005/8/layout/process2"/>
    <dgm:cxn modelId="{8F224130-FCF7-4B42-A340-5F95D19A05A7}" type="presOf" srcId="{ED55EB21-F5B5-475F-8DAE-932BF7220045}" destId="{3B34FCBB-CA05-4EA0-87A9-AAB3A94A53DB}" srcOrd="0" destOrd="0" presId="urn:microsoft.com/office/officeart/2005/8/layout/process2"/>
    <dgm:cxn modelId="{A523D124-F632-4AB6-85D1-5697C5841A81}" srcId="{34EEE154-8A50-4BCB-94EB-2410AED1C8B9}" destId="{4D11D59D-6CBF-4147-BAC8-1678A1857A96}" srcOrd="2" destOrd="0" parTransId="{AAE9B8D4-1D69-4AE9-9558-C53F1D9EA666}" sibTransId="{34D3D7BF-C475-42F5-847C-9B083F186310}"/>
    <dgm:cxn modelId="{2C75AF6A-EC1E-4915-9F63-243D6B4DA2F7}" type="presOf" srcId="{DB176874-547D-49AE-A2BC-61C189C7BF75}" destId="{E1768CA2-474F-45FA-B525-C860FF4DB6D3}" srcOrd="0" destOrd="0" presId="urn:microsoft.com/office/officeart/2005/8/layout/process2"/>
    <dgm:cxn modelId="{F6AC6D97-382C-47C5-A616-7794F95FBB14}" srcId="{34EEE154-8A50-4BCB-94EB-2410AED1C8B9}" destId="{5B3AC568-43B7-443C-B1FD-B174060890C0}" srcOrd="4" destOrd="0" parTransId="{099F504D-972E-4C6C-A8F2-9B43B7611FB9}" sibTransId="{E461B302-550D-4E7D-BDE4-5A783B2E933B}"/>
    <dgm:cxn modelId="{38B6FA6D-BF0C-47EB-AF90-E1406E5A5A18}" type="presOf" srcId="{FDB30DE8-B5B3-4D3E-9C8D-54B291EAF1B4}" destId="{E5233262-83D7-4455-9357-CF35CBDEB8A3}" srcOrd="0" destOrd="0" presId="urn:microsoft.com/office/officeart/2005/8/layout/process2"/>
    <dgm:cxn modelId="{33F043D5-B25F-42A2-A080-2045209F4F92}" type="presOf" srcId="{E461B302-550D-4E7D-BDE4-5A783B2E933B}" destId="{EBE967F8-2D7B-4839-A1A4-8C2DFA97FE59}" srcOrd="0" destOrd="0" presId="urn:microsoft.com/office/officeart/2005/8/layout/process2"/>
    <dgm:cxn modelId="{A0F642F1-4605-4EE6-8B68-B9FFECBCE560}" type="presOf" srcId="{08CF0235-24E9-49F3-B6DF-ACB23D8BFD20}" destId="{F1C22EC8-DA5A-4058-8B08-1B50FCE13F5C}" srcOrd="0" destOrd="0" presId="urn:microsoft.com/office/officeart/2005/8/layout/process2"/>
    <dgm:cxn modelId="{283AF238-8681-4F07-B998-7FC8A89B44D9}" srcId="{34EEE154-8A50-4BCB-94EB-2410AED1C8B9}" destId="{08CF0235-24E9-49F3-B6DF-ACB23D8BFD20}" srcOrd="3" destOrd="0" parTransId="{655D9FA6-0907-4E08-9C03-9F506A3605F8}" sibTransId="{2B73EC61-84A4-4C4A-ABA9-F191B45469D7}"/>
    <dgm:cxn modelId="{1DCFEC4F-EE7B-42F3-B352-372D4EA6C480}" type="presOf" srcId="{045D3FDF-67EA-4E63-A61A-564D6A5FE3F2}" destId="{7735A284-441B-4D91-89FE-C503C0EB546E}" srcOrd="0" destOrd="0" presId="urn:microsoft.com/office/officeart/2005/8/layout/process2"/>
    <dgm:cxn modelId="{9473F941-73B4-488E-B9DE-C42DBC3BFD65}" type="presOf" srcId="{5B3AC568-43B7-443C-B1FD-B174060890C0}" destId="{77E913ED-C224-45BD-9B5E-289165A10DAE}" srcOrd="0" destOrd="0" presId="urn:microsoft.com/office/officeart/2005/8/layout/process2"/>
    <dgm:cxn modelId="{720105ED-7FF2-4E8A-BE3A-593C5C09422A}" type="presOf" srcId="{34EEE154-8A50-4BCB-94EB-2410AED1C8B9}" destId="{070A457B-9C50-4070-B014-7004023FB40F}" srcOrd="0" destOrd="0" presId="urn:microsoft.com/office/officeart/2005/8/layout/process2"/>
    <dgm:cxn modelId="{371307B7-88EA-494C-97D9-C45842BD32B0}" type="presOf" srcId="{8C59A65B-E21C-4C77-8A5C-6F5BF8BCF190}" destId="{D3015824-6254-4FFD-B95D-FE317779363C}" srcOrd="0" destOrd="0" presId="urn:microsoft.com/office/officeart/2005/8/layout/process2"/>
    <dgm:cxn modelId="{78C05046-FD1E-4266-9F9F-1C734448DCB9}" type="presOf" srcId="{AECF91D3-A62F-4104-B36A-D27717A09A7A}" destId="{B7B16EF9-8365-4E8C-A02C-A4679A9E0A71}" srcOrd="0" destOrd="0" presId="urn:microsoft.com/office/officeart/2005/8/layout/process2"/>
    <dgm:cxn modelId="{607E4EBA-1CAE-491B-91A8-F0F0AF43A35B}" type="presOf" srcId="{26FE48DB-D6B1-4A44-913E-4040A4183F70}" destId="{94A70B40-1E23-40A4-9B01-F0449B9E4B67}" srcOrd="1" destOrd="0" presId="urn:microsoft.com/office/officeart/2005/8/layout/process2"/>
    <dgm:cxn modelId="{0AED07E8-BFDC-462C-B708-9312790DB961}" type="presOf" srcId="{34D3D7BF-C475-42F5-847C-9B083F186310}" destId="{EBF02C73-3274-4CE9-89F8-D4466A0A1730}" srcOrd="0" destOrd="0" presId="urn:microsoft.com/office/officeart/2005/8/layout/process2"/>
    <dgm:cxn modelId="{5FD9CA7A-1072-47D6-B288-3FFE9AFCBBA7}" type="presOf" srcId="{067AD327-33C7-4150-B6DC-372A84050653}" destId="{744BD94A-1961-4E04-A5D7-819EF91D875E}" srcOrd="1" destOrd="0" presId="urn:microsoft.com/office/officeart/2005/8/layout/process2"/>
    <dgm:cxn modelId="{D54A9E49-76D3-45E0-BB73-D07B181A044A}" type="presOf" srcId="{394E73EC-5731-48D3-9BC7-3943C1A53F51}" destId="{AEC0575E-9D20-4DE5-BBD9-224804971A8D}" srcOrd="0" destOrd="0" presId="urn:microsoft.com/office/officeart/2005/8/layout/process2"/>
    <dgm:cxn modelId="{94D95136-0FA3-470B-8CFD-342EE32577D8}" type="presOf" srcId="{2B73EC61-84A4-4C4A-ABA9-F191B45469D7}" destId="{3B565690-592E-4930-BBDB-EDD83BD6C163}" srcOrd="0" destOrd="0" presId="urn:microsoft.com/office/officeart/2005/8/layout/process2"/>
    <dgm:cxn modelId="{F7E7BA79-34A0-43BD-8D68-A7404EB2C2AD}" type="presOf" srcId="{394E73EC-5731-48D3-9BC7-3943C1A53F51}" destId="{B7147FCC-87D7-4BAC-93F7-802CAA915927}" srcOrd="1" destOrd="0" presId="urn:microsoft.com/office/officeart/2005/8/layout/process2"/>
    <dgm:cxn modelId="{D0CDBEE6-A603-4440-9313-B7D0D55A1714}" srcId="{34EEE154-8A50-4BCB-94EB-2410AED1C8B9}" destId="{B258208C-7B1E-4D0C-AFED-599E4475DB8D}" srcOrd="6" destOrd="0" parTransId="{4390659C-B5C8-4E8C-A6A1-F4301DCA3B46}" sibTransId="{394E73EC-5731-48D3-9BC7-3943C1A53F51}"/>
    <dgm:cxn modelId="{96C31C9C-98D0-4E54-A6EB-2AA8899EB700}" type="presOf" srcId="{34D3D7BF-C475-42F5-847C-9B083F186310}" destId="{0FFECB85-B8D9-4ABE-864D-11C856C589B2}" srcOrd="1" destOrd="0" presId="urn:microsoft.com/office/officeart/2005/8/layout/process2"/>
    <dgm:cxn modelId="{99B8B0BA-9BD5-4A66-A92D-CAAA7C8624CE}" type="presOf" srcId="{87044111-F4CE-43E0-BE4E-EC6D4AC0D7CC}" destId="{1C6160DE-C9E6-4434-BB1A-E8B1458A8DDC}" srcOrd="0" destOrd="0" presId="urn:microsoft.com/office/officeart/2005/8/layout/process2"/>
    <dgm:cxn modelId="{64F4E589-D774-4C55-BE60-A554F41A7A0C}" type="presParOf" srcId="{070A457B-9C50-4070-B014-7004023FB40F}" destId="{E5233262-83D7-4455-9357-CF35CBDEB8A3}" srcOrd="0" destOrd="0" presId="urn:microsoft.com/office/officeart/2005/8/layout/process2"/>
    <dgm:cxn modelId="{22ED2D03-932E-4C85-9D06-8183BE03F320}" type="presParOf" srcId="{070A457B-9C50-4070-B014-7004023FB40F}" destId="{E1768CA2-474F-45FA-B525-C860FF4DB6D3}" srcOrd="1" destOrd="0" presId="urn:microsoft.com/office/officeart/2005/8/layout/process2"/>
    <dgm:cxn modelId="{3796EDB4-8E14-4279-9656-2F9B0A6810FE}" type="presParOf" srcId="{E1768CA2-474F-45FA-B525-C860FF4DB6D3}" destId="{E1ED2F38-508B-420D-9941-9ABF1BA59671}" srcOrd="0" destOrd="0" presId="urn:microsoft.com/office/officeart/2005/8/layout/process2"/>
    <dgm:cxn modelId="{025C77F4-50EF-4F76-A2E3-1A57B7EAE922}" type="presParOf" srcId="{070A457B-9C50-4070-B014-7004023FB40F}" destId="{7735A284-441B-4D91-89FE-C503C0EB546E}" srcOrd="2" destOrd="0" presId="urn:microsoft.com/office/officeart/2005/8/layout/process2"/>
    <dgm:cxn modelId="{692BC825-1E16-45C8-B289-DB4EAE84B063}" type="presParOf" srcId="{070A457B-9C50-4070-B014-7004023FB40F}" destId="{D3015824-6254-4FFD-B95D-FE317779363C}" srcOrd="3" destOrd="0" presId="urn:microsoft.com/office/officeart/2005/8/layout/process2"/>
    <dgm:cxn modelId="{09612623-DBF4-49F6-B5E3-79A6D2ECE352}" type="presParOf" srcId="{D3015824-6254-4FFD-B95D-FE317779363C}" destId="{00738A29-6E8B-4022-A825-B0E62FE23ACA}" srcOrd="0" destOrd="0" presId="urn:microsoft.com/office/officeart/2005/8/layout/process2"/>
    <dgm:cxn modelId="{BE6ABD91-66A7-4897-9868-903E607840E2}" type="presParOf" srcId="{070A457B-9C50-4070-B014-7004023FB40F}" destId="{0F43B6D4-6AC2-4312-A09A-433FD5E57A7E}" srcOrd="4" destOrd="0" presId="urn:microsoft.com/office/officeart/2005/8/layout/process2"/>
    <dgm:cxn modelId="{FF6D436E-0FE8-499B-A1D3-5525E666884F}" type="presParOf" srcId="{070A457B-9C50-4070-B014-7004023FB40F}" destId="{EBF02C73-3274-4CE9-89F8-D4466A0A1730}" srcOrd="5" destOrd="0" presId="urn:microsoft.com/office/officeart/2005/8/layout/process2"/>
    <dgm:cxn modelId="{471661B1-5FEB-4ABB-B99E-F1500803844C}" type="presParOf" srcId="{EBF02C73-3274-4CE9-89F8-D4466A0A1730}" destId="{0FFECB85-B8D9-4ABE-864D-11C856C589B2}" srcOrd="0" destOrd="0" presId="urn:microsoft.com/office/officeart/2005/8/layout/process2"/>
    <dgm:cxn modelId="{DB0DC839-3276-4074-A883-57C98F2080E5}" type="presParOf" srcId="{070A457B-9C50-4070-B014-7004023FB40F}" destId="{F1C22EC8-DA5A-4058-8B08-1B50FCE13F5C}" srcOrd="6" destOrd="0" presId="urn:microsoft.com/office/officeart/2005/8/layout/process2"/>
    <dgm:cxn modelId="{74FC6032-79D1-4354-8D4D-FB9C56E820B0}" type="presParOf" srcId="{070A457B-9C50-4070-B014-7004023FB40F}" destId="{3B565690-592E-4930-BBDB-EDD83BD6C163}" srcOrd="7" destOrd="0" presId="urn:microsoft.com/office/officeart/2005/8/layout/process2"/>
    <dgm:cxn modelId="{E659DF05-8262-4007-B31B-7B82E175DA40}" type="presParOf" srcId="{3B565690-592E-4930-BBDB-EDD83BD6C163}" destId="{57D77F96-4034-49FE-BDCD-D6396E20A6FA}" srcOrd="0" destOrd="0" presId="urn:microsoft.com/office/officeart/2005/8/layout/process2"/>
    <dgm:cxn modelId="{EEFFE01B-9BB2-4062-8F16-6871445BC89A}" type="presParOf" srcId="{070A457B-9C50-4070-B014-7004023FB40F}" destId="{77E913ED-C224-45BD-9B5E-289165A10DAE}" srcOrd="8" destOrd="0" presId="urn:microsoft.com/office/officeart/2005/8/layout/process2"/>
    <dgm:cxn modelId="{9D84BF69-1B7E-44A6-92C9-40BFF4BBDB53}" type="presParOf" srcId="{070A457B-9C50-4070-B014-7004023FB40F}" destId="{EBE967F8-2D7B-4839-A1A4-8C2DFA97FE59}" srcOrd="9" destOrd="0" presId="urn:microsoft.com/office/officeart/2005/8/layout/process2"/>
    <dgm:cxn modelId="{6A9B8EA6-F517-42B2-8A7A-C9B0E5DA081E}" type="presParOf" srcId="{EBE967F8-2D7B-4839-A1A4-8C2DFA97FE59}" destId="{6DF8903A-6ACB-4F5D-AA54-3CE1FC650F11}" srcOrd="0" destOrd="0" presId="urn:microsoft.com/office/officeart/2005/8/layout/process2"/>
    <dgm:cxn modelId="{11F3759A-6FE2-4656-8F25-BAE8476F04B2}" type="presParOf" srcId="{070A457B-9C50-4070-B014-7004023FB40F}" destId="{B7B16EF9-8365-4E8C-A02C-A4679A9E0A71}" srcOrd="10" destOrd="0" presId="urn:microsoft.com/office/officeart/2005/8/layout/process2"/>
    <dgm:cxn modelId="{ADC2BDDB-0AC0-4454-BB11-F946AF7012A5}" type="presParOf" srcId="{070A457B-9C50-4070-B014-7004023FB40F}" destId="{9F925200-8127-40FA-AD66-0AD1771788AE}" srcOrd="11" destOrd="0" presId="urn:microsoft.com/office/officeart/2005/8/layout/process2"/>
    <dgm:cxn modelId="{0576224B-78FB-457A-BCBD-95C981A2585A}" type="presParOf" srcId="{9F925200-8127-40FA-AD66-0AD1771788AE}" destId="{94A70B40-1E23-40A4-9B01-F0449B9E4B67}" srcOrd="0" destOrd="0" presId="urn:microsoft.com/office/officeart/2005/8/layout/process2"/>
    <dgm:cxn modelId="{0A98406F-CE57-4610-87EE-542D16FE447B}" type="presParOf" srcId="{070A457B-9C50-4070-B014-7004023FB40F}" destId="{110D4B80-4106-42C7-AC9F-1A649C305F2A}" srcOrd="12" destOrd="0" presId="urn:microsoft.com/office/officeart/2005/8/layout/process2"/>
    <dgm:cxn modelId="{21664B8F-EF01-48B0-AC41-5CAD4342209B}" type="presParOf" srcId="{070A457B-9C50-4070-B014-7004023FB40F}" destId="{AEC0575E-9D20-4DE5-BBD9-224804971A8D}" srcOrd="13" destOrd="0" presId="urn:microsoft.com/office/officeart/2005/8/layout/process2"/>
    <dgm:cxn modelId="{17AFD398-127C-4755-97B0-D9E8E768CDAD}" type="presParOf" srcId="{AEC0575E-9D20-4DE5-BBD9-224804971A8D}" destId="{B7147FCC-87D7-4BAC-93F7-802CAA915927}" srcOrd="0" destOrd="0" presId="urn:microsoft.com/office/officeart/2005/8/layout/process2"/>
    <dgm:cxn modelId="{311C9D89-5D3D-4B73-B667-CF12702ABA5D}" type="presParOf" srcId="{070A457B-9C50-4070-B014-7004023FB40F}" destId="{1C6160DE-C9E6-4434-BB1A-E8B1458A8DDC}" srcOrd="14" destOrd="0" presId="urn:microsoft.com/office/officeart/2005/8/layout/process2"/>
    <dgm:cxn modelId="{FA887F78-DB6B-4166-96BB-BEA9AEB11952}" type="presParOf" srcId="{070A457B-9C50-4070-B014-7004023FB40F}" destId="{9BBC4069-D0C2-4CEF-B1BD-35E1D5792C71}" srcOrd="15" destOrd="0" presId="urn:microsoft.com/office/officeart/2005/8/layout/process2"/>
    <dgm:cxn modelId="{A5E3937C-41AC-4E49-8E4F-670B07129315}" type="presParOf" srcId="{9BBC4069-D0C2-4CEF-B1BD-35E1D5792C71}" destId="{744BD94A-1961-4E04-A5D7-819EF91D875E}" srcOrd="0" destOrd="0" presId="urn:microsoft.com/office/officeart/2005/8/layout/process2"/>
    <dgm:cxn modelId="{7A08FF4C-ACEC-4AAC-8797-E3FDD33CB697}" type="presParOf" srcId="{070A457B-9C50-4070-B014-7004023FB40F}" destId="{3B34FCBB-CA05-4EA0-87A9-AAB3A94A53DB}" srcOrd="16" destOrd="0" presId="urn:microsoft.com/office/officeart/2005/8/layout/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233262-83D7-4455-9357-CF35CBDEB8A3}">
      <dsp:nvSpPr>
        <dsp:cNvPr id="0" name=""/>
        <dsp:cNvSpPr/>
      </dsp:nvSpPr>
      <dsp:spPr>
        <a:xfrm>
          <a:off x="0" y="0"/>
          <a:ext cx="5486400" cy="34906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CR" sz="1050" kern="1200"/>
            <a:t>La identificación de fuerzas actuales que actúan sobre el CUC (FODAL).</a:t>
          </a:r>
        </a:p>
      </dsp:txBody>
      <dsp:txXfrm>
        <a:off x="10224" y="10224"/>
        <a:ext cx="5465952" cy="328619"/>
      </dsp:txXfrm>
    </dsp:sp>
    <dsp:sp modelId="{E1768CA2-474F-45FA-B525-C860FF4DB6D3}">
      <dsp:nvSpPr>
        <dsp:cNvPr id="0" name=""/>
        <dsp:cNvSpPr/>
      </dsp:nvSpPr>
      <dsp:spPr>
        <a:xfrm rot="5400000">
          <a:off x="2676710" y="359181"/>
          <a:ext cx="132979" cy="15708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466725">
            <a:lnSpc>
              <a:spcPct val="90000"/>
            </a:lnSpc>
            <a:spcBef>
              <a:spcPct val="0"/>
            </a:spcBef>
            <a:spcAft>
              <a:spcPct val="35000"/>
            </a:spcAft>
          </a:pPr>
          <a:endParaRPr lang="es-CR" sz="1050" kern="1200"/>
        </a:p>
      </dsp:txBody>
      <dsp:txXfrm rot="-5400000">
        <a:off x="2696076" y="371231"/>
        <a:ext cx="94248" cy="93085"/>
      </dsp:txXfrm>
    </dsp:sp>
    <dsp:sp modelId="{7735A284-441B-4D91-89FE-C503C0EB546E}">
      <dsp:nvSpPr>
        <dsp:cNvPr id="0" name=""/>
        <dsp:cNvSpPr/>
      </dsp:nvSpPr>
      <dsp:spPr>
        <a:xfrm>
          <a:off x="0" y="526374"/>
          <a:ext cx="5486400" cy="349067"/>
        </a:xfrm>
        <a:prstGeom prst="roundRect">
          <a:avLst>
            <a:gd name="adj" fmla="val 10000"/>
          </a:avLst>
        </a:prstGeom>
        <a:solidFill>
          <a:schemeClr val="accent3">
            <a:hueOff val="1406283"/>
            <a:satOff val="-211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R" sz="1050" kern="1200"/>
            <a:t>El posicionamiento estratégico actual del CUC en el mercado.</a:t>
          </a:r>
        </a:p>
      </dsp:txBody>
      <dsp:txXfrm>
        <a:off x="10224" y="536598"/>
        <a:ext cx="5465952" cy="328619"/>
      </dsp:txXfrm>
    </dsp:sp>
    <dsp:sp modelId="{D3015824-6254-4FFD-B95D-FE317779363C}">
      <dsp:nvSpPr>
        <dsp:cNvPr id="0" name=""/>
        <dsp:cNvSpPr/>
      </dsp:nvSpPr>
      <dsp:spPr>
        <a:xfrm rot="5400000">
          <a:off x="2677749" y="884168"/>
          <a:ext cx="130900" cy="157080"/>
        </a:xfrm>
        <a:prstGeom prst="rightArrow">
          <a:avLst>
            <a:gd name="adj1" fmla="val 60000"/>
            <a:gd name="adj2" fmla="val 50000"/>
          </a:avLst>
        </a:prstGeom>
        <a:solidFill>
          <a:schemeClr val="accent3">
            <a:hueOff val="1607181"/>
            <a:satOff val="-2411"/>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466725">
            <a:lnSpc>
              <a:spcPct val="90000"/>
            </a:lnSpc>
            <a:spcBef>
              <a:spcPct val="0"/>
            </a:spcBef>
            <a:spcAft>
              <a:spcPct val="35000"/>
            </a:spcAft>
          </a:pPr>
          <a:endParaRPr lang="es-CR" sz="1050" kern="1200"/>
        </a:p>
      </dsp:txBody>
      <dsp:txXfrm rot="-5400000">
        <a:off x="2696075" y="897258"/>
        <a:ext cx="94248" cy="91630"/>
      </dsp:txXfrm>
    </dsp:sp>
    <dsp:sp modelId="{0F43B6D4-6AC2-4312-A09A-433FD5E57A7E}">
      <dsp:nvSpPr>
        <dsp:cNvPr id="0" name=""/>
        <dsp:cNvSpPr/>
      </dsp:nvSpPr>
      <dsp:spPr>
        <a:xfrm>
          <a:off x="0" y="1049975"/>
          <a:ext cx="5486400" cy="349067"/>
        </a:xfrm>
        <a:prstGeom prst="roundRect">
          <a:avLst>
            <a:gd name="adj" fmla="val 10000"/>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CR" sz="1050" kern="1200"/>
            <a:t>Los lineamientos estratégicos enfocados en los factores claves para el éxito del CUC (Matriz DAFO)</a:t>
          </a:r>
        </a:p>
      </dsp:txBody>
      <dsp:txXfrm>
        <a:off x="10224" y="1060199"/>
        <a:ext cx="5465952" cy="328619"/>
      </dsp:txXfrm>
    </dsp:sp>
    <dsp:sp modelId="{EBF02C73-3274-4CE9-89F8-D4466A0A1730}">
      <dsp:nvSpPr>
        <dsp:cNvPr id="0" name=""/>
        <dsp:cNvSpPr/>
      </dsp:nvSpPr>
      <dsp:spPr>
        <a:xfrm rot="5400000">
          <a:off x="2677749" y="1407769"/>
          <a:ext cx="130900" cy="157080"/>
        </a:xfrm>
        <a:prstGeom prst="rightArrow">
          <a:avLst>
            <a:gd name="adj1" fmla="val 60000"/>
            <a:gd name="adj2" fmla="val 50000"/>
          </a:avLst>
        </a:prstGeom>
        <a:solidFill>
          <a:schemeClr val="accent3">
            <a:hueOff val="3214361"/>
            <a:satOff val="-4823"/>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466725">
            <a:lnSpc>
              <a:spcPct val="90000"/>
            </a:lnSpc>
            <a:spcBef>
              <a:spcPct val="0"/>
            </a:spcBef>
            <a:spcAft>
              <a:spcPct val="35000"/>
            </a:spcAft>
          </a:pPr>
          <a:endParaRPr lang="es-CR" sz="1050" kern="1200"/>
        </a:p>
      </dsp:txBody>
      <dsp:txXfrm rot="-5400000">
        <a:off x="2696075" y="1420859"/>
        <a:ext cx="94248" cy="91630"/>
      </dsp:txXfrm>
    </dsp:sp>
    <dsp:sp modelId="{F1C22EC8-DA5A-4058-8B08-1B50FCE13F5C}">
      <dsp:nvSpPr>
        <dsp:cNvPr id="0" name=""/>
        <dsp:cNvSpPr/>
      </dsp:nvSpPr>
      <dsp:spPr>
        <a:xfrm>
          <a:off x="0" y="1573577"/>
          <a:ext cx="5486400" cy="349067"/>
        </a:xfrm>
        <a:prstGeom prst="roundRect">
          <a:avLst>
            <a:gd name="adj" fmla="val 10000"/>
          </a:avLst>
        </a:prstGeom>
        <a:solidFill>
          <a:schemeClr val="accent3">
            <a:hueOff val="4218849"/>
            <a:satOff val="-6330"/>
            <a:lumOff val="-102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CR" sz="1050" kern="1200"/>
            <a:t>La misión, visión, valores estratégicos y valores conductuales asociados.</a:t>
          </a:r>
        </a:p>
      </dsp:txBody>
      <dsp:txXfrm>
        <a:off x="10224" y="1583801"/>
        <a:ext cx="5465952" cy="328619"/>
      </dsp:txXfrm>
    </dsp:sp>
    <dsp:sp modelId="{3B565690-592E-4930-BBDB-EDD83BD6C163}">
      <dsp:nvSpPr>
        <dsp:cNvPr id="0" name=""/>
        <dsp:cNvSpPr/>
      </dsp:nvSpPr>
      <dsp:spPr>
        <a:xfrm rot="5400000">
          <a:off x="2677749" y="1931371"/>
          <a:ext cx="130900" cy="157080"/>
        </a:xfrm>
        <a:prstGeom prst="rightArrow">
          <a:avLst>
            <a:gd name="adj1" fmla="val 60000"/>
            <a:gd name="adj2" fmla="val 50000"/>
          </a:avLst>
        </a:prstGeom>
        <a:solidFill>
          <a:schemeClr val="accent3">
            <a:hueOff val="4821541"/>
            <a:satOff val="-7234"/>
            <a:lumOff val="-11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466725">
            <a:lnSpc>
              <a:spcPct val="90000"/>
            </a:lnSpc>
            <a:spcBef>
              <a:spcPct val="0"/>
            </a:spcBef>
            <a:spcAft>
              <a:spcPct val="35000"/>
            </a:spcAft>
          </a:pPr>
          <a:endParaRPr lang="es-CR" sz="1050" kern="1200"/>
        </a:p>
      </dsp:txBody>
      <dsp:txXfrm rot="-5400000">
        <a:off x="2696075" y="1944461"/>
        <a:ext cx="94248" cy="91630"/>
      </dsp:txXfrm>
    </dsp:sp>
    <dsp:sp modelId="{77E913ED-C224-45BD-9B5E-289165A10DAE}">
      <dsp:nvSpPr>
        <dsp:cNvPr id="0" name=""/>
        <dsp:cNvSpPr/>
      </dsp:nvSpPr>
      <dsp:spPr>
        <a:xfrm>
          <a:off x="0" y="2097178"/>
          <a:ext cx="5486400" cy="349067"/>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CR" sz="1050" kern="1200"/>
            <a:t>La definición de objetivos estratégicos basados en las perspectivas del Cuadro de Mando Integral, metodología de Kaplan y Norton.</a:t>
          </a:r>
        </a:p>
      </dsp:txBody>
      <dsp:txXfrm>
        <a:off x="10224" y="2107402"/>
        <a:ext cx="5465952" cy="328619"/>
      </dsp:txXfrm>
    </dsp:sp>
    <dsp:sp modelId="{EBE967F8-2D7B-4839-A1A4-8C2DFA97FE59}">
      <dsp:nvSpPr>
        <dsp:cNvPr id="0" name=""/>
        <dsp:cNvSpPr/>
      </dsp:nvSpPr>
      <dsp:spPr>
        <a:xfrm rot="5400000">
          <a:off x="2677749" y="2454973"/>
          <a:ext cx="130900" cy="157080"/>
        </a:xfrm>
        <a:prstGeom prst="rightArrow">
          <a:avLst>
            <a:gd name="adj1" fmla="val 60000"/>
            <a:gd name="adj2" fmla="val 50000"/>
          </a:avLst>
        </a:prstGeom>
        <a:solidFill>
          <a:schemeClr val="accent3">
            <a:hueOff val="6428722"/>
            <a:satOff val="-9646"/>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466725">
            <a:lnSpc>
              <a:spcPct val="90000"/>
            </a:lnSpc>
            <a:spcBef>
              <a:spcPct val="0"/>
            </a:spcBef>
            <a:spcAft>
              <a:spcPct val="35000"/>
            </a:spcAft>
          </a:pPr>
          <a:endParaRPr lang="es-CR" sz="1050" kern="1200"/>
        </a:p>
      </dsp:txBody>
      <dsp:txXfrm rot="-5400000">
        <a:off x="2696075" y="2468063"/>
        <a:ext cx="94248" cy="91630"/>
      </dsp:txXfrm>
    </dsp:sp>
    <dsp:sp modelId="{B7B16EF9-8365-4E8C-A02C-A4679A9E0A71}">
      <dsp:nvSpPr>
        <dsp:cNvPr id="0" name=""/>
        <dsp:cNvSpPr/>
      </dsp:nvSpPr>
      <dsp:spPr>
        <a:xfrm>
          <a:off x="0" y="2620780"/>
          <a:ext cx="5486400" cy="349067"/>
        </a:xfrm>
        <a:prstGeom prst="roundRect">
          <a:avLst>
            <a:gd name="adj" fmla="val 10000"/>
          </a:avLst>
        </a:prstGeom>
        <a:solidFill>
          <a:schemeClr val="accent3">
            <a:hueOff val="7031415"/>
            <a:satOff val="-10550"/>
            <a:lumOff val="-17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CR" sz="1050" kern="1200"/>
            <a:t>La construcción del mapa estratégico que relaciona misión, visión, valores estratégicos y conductuales con las perspectivas, ejes y objetivos estratégicos mediante relaciones causa-efecto.</a:t>
          </a:r>
        </a:p>
      </dsp:txBody>
      <dsp:txXfrm>
        <a:off x="10224" y="2631004"/>
        <a:ext cx="5465952" cy="328619"/>
      </dsp:txXfrm>
    </dsp:sp>
    <dsp:sp modelId="{9F925200-8127-40FA-AD66-0AD1771788AE}">
      <dsp:nvSpPr>
        <dsp:cNvPr id="0" name=""/>
        <dsp:cNvSpPr/>
      </dsp:nvSpPr>
      <dsp:spPr>
        <a:xfrm rot="5400000">
          <a:off x="2677749" y="2978574"/>
          <a:ext cx="130900" cy="157080"/>
        </a:xfrm>
        <a:prstGeom prst="rightArrow">
          <a:avLst>
            <a:gd name="adj1" fmla="val 60000"/>
            <a:gd name="adj2" fmla="val 50000"/>
          </a:avLst>
        </a:prstGeom>
        <a:solidFill>
          <a:schemeClr val="accent3">
            <a:hueOff val="8035903"/>
            <a:satOff val="-12057"/>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466725">
            <a:lnSpc>
              <a:spcPct val="90000"/>
            </a:lnSpc>
            <a:spcBef>
              <a:spcPct val="0"/>
            </a:spcBef>
            <a:spcAft>
              <a:spcPct val="35000"/>
            </a:spcAft>
          </a:pPr>
          <a:endParaRPr lang="es-CR" sz="1050" kern="1200"/>
        </a:p>
      </dsp:txBody>
      <dsp:txXfrm rot="-5400000">
        <a:off x="2696075" y="2991664"/>
        <a:ext cx="94248" cy="91630"/>
      </dsp:txXfrm>
    </dsp:sp>
    <dsp:sp modelId="{110D4B80-4106-42C7-AC9F-1A649C305F2A}">
      <dsp:nvSpPr>
        <dsp:cNvPr id="0" name=""/>
        <dsp:cNvSpPr/>
      </dsp:nvSpPr>
      <dsp:spPr>
        <a:xfrm>
          <a:off x="0" y="3144381"/>
          <a:ext cx="5486400" cy="349067"/>
        </a:xfrm>
        <a:prstGeom prst="roundRect">
          <a:avLst>
            <a:gd name="adj" fmla="val 10000"/>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CR" sz="1050" kern="1200"/>
            <a:t>El Establecimiento de Indicadores estratégicos de gestión y de resultado, definiendo indicador, formula, meta (línea base) y responsable de cumplimiento</a:t>
          </a:r>
        </a:p>
      </dsp:txBody>
      <dsp:txXfrm>
        <a:off x="10224" y="3154605"/>
        <a:ext cx="5465952" cy="328619"/>
      </dsp:txXfrm>
    </dsp:sp>
    <dsp:sp modelId="{AEC0575E-9D20-4DE5-BBD9-224804971A8D}">
      <dsp:nvSpPr>
        <dsp:cNvPr id="0" name=""/>
        <dsp:cNvSpPr/>
      </dsp:nvSpPr>
      <dsp:spPr>
        <a:xfrm rot="5400000">
          <a:off x="2677749" y="3502176"/>
          <a:ext cx="130900" cy="157080"/>
        </a:xfrm>
        <a:prstGeom prst="rightArrow">
          <a:avLst>
            <a:gd name="adj1" fmla="val 60000"/>
            <a:gd name="adj2" fmla="val 50000"/>
          </a:avLst>
        </a:prstGeom>
        <a:solidFill>
          <a:schemeClr val="accent3">
            <a:hueOff val="9643083"/>
            <a:satOff val="-14469"/>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466725">
            <a:lnSpc>
              <a:spcPct val="90000"/>
            </a:lnSpc>
            <a:spcBef>
              <a:spcPct val="0"/>
            </a:spcBef>
            <a:spcAft>
              <a:spcPct val="35000"/>
            </a:spcAft>
          </a:pPr>
          <a:endParaRPr lang="es-CR" sz="1050" kern="1200"/>
        </a:p>
      </dsp:txBody>
      <dsp:txXfrm rot="-5400000">
        <a:off x="2696075" y="3515266"/>
        <a:ext cx="94248" cy="91630"/>
      </dsp:txXfrm>
    </dsp:sp>
    <dsp:sp modelId="{1C6160DE-C9E6-4434-BB1A-E8B1458A8DDC}">
      <dsp:nvSpPr>
        <dsp:cNvPr id="0" name=""/>
        <dsp:cNvSpPr/>
      </dsp:nvSpPr>
      <dsp:spPr>
        <a:xfrm>
          <a:off x="0" y="3667983"/>
          <a:ext cx="5486400" cy="349067"/>
        </a:xfrm>
        <a:prstGeom prst="roundRect">
          <a:avLst>
            <a:gd name="adj" fmla="val 10000"/>
          </a:avLst>
        </a:prstGeom>
        <a:solidFill>
          <a:schemeClr val="accent3">
            <a:hueOff val="9843981"/>
            <a:satOff val="-14770"/>
            <a:lumOff val="-24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CR" sz="1050" kern="1200"/>
            <a:t>La Definición de acciones estratégicas a partir de los objetivos estratégicas establecidos.</a:t>
          </a:r>
        </a:p>
      </dsp:txBody>
      <dsp:txXfrm>
        <a:off x="10224" y="3678207"/>
        <a:ext cx="5465952" cy="328619"/>
      </dsp:txXfrm>
    </dsp:sp>
    <dsp:sp modelId="{9BBC4069-D0C2-4CEF-B1BD-35E1D5792C71}">
      <dsp:nvSpPr>
        <dsp:cNvPr id="0" name=""/>
        <dsp:cNvSpPr/>
      </dsp:nvSpPr>
      <dsp:spPr>
        <a:xfrm rot="5400000">
          <a:off x="2677749" y="4025777"/>
          <a:ext cx="130900" cy="157080"/>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466725">
            <a:lnSpc>
              <a:spcPct val="90000"/>
            </a:lnSpc>
            <a:spcBef>
              <a:spcPct val="0"/>
            </a:spcBef>
            <a:spcAft>
              <a:spcPct val="35000"/>
            </a:spcAft>
          </a:pPr>
          <a:endParaRPr lang="es-CR" sz="1050" kern="1200"/>
        </a:p>
      </dsp:txBody>
      <dsp:txXfrm rot="-5400000">
        <a:off x="2696075" y="4038867"/>
        <a:ext cx="94248" cy="91630"/>
      </dsp:txXfrm>
    </dsp:sp>
    <dsp:sp modelId="{3B34FCBB-CA05-4EA0-87A9-AAB3A94A53DB}">
      <dsp:nvSpPr>
        <dsp:cNvPr id="0" name=""/>
        <dsp:cNvSpPr/>
      </dsp:nvSpPr>
      <dsp:spPr>
        <a:xfrm>
          <a:off x="0" y="4191584"/>
          <a:ext cx="5486400" cy="349067"/>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CR" sz="1050" kern="1200"/>
            <a:t>La recomendación de los planes tácticos que se podrían desarrollar para alcanzar los objetivos estratégicos planteados.</a:t>
          </a:r>
        </a:p>
      </dsp:txBody>
      <dsp:txXfrm>
        <a:off x="10224" y="4201808"/>
        <a:ext cx="5465952" cy="32861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9D2"/>
    <w:rsid w:val="009279D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6BB9683A0C7472F9CF04A6CA3B59F6D">
    <w:name w:val="D6BB9683A0C7472F9CF04A6CA3B59F6D"/>
    <w:rsid w:val="009279D2"/>
  </w:style>
  <w:style w:type="paragraph" w:customStyle="1" w:styleId="F8AEB615ED554506AFF10D0DEC052DCA">
    <w:name w:val="F8AEB615ED554506AFF10D0DEC052DCA"/>
    <w:rsid w:val="009279D2"/>
  </w:style>
  <w:style w:type="paragraph" w:customStyle="1" w:styleId="18EE17A21E3E484CA9D091A7BCB7FFD3">
    <w:name w:val="18EE17A21E3E484CA9D091A7BCB7FFD3"/>
    <w:rsid w:val="009279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F8A36-2FC0-4B33-B0A6-14262A406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Pages>
  <Words>1145</Words>
  <Characters>6303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Mauren</dc:creator>
  <cp:keywords/>
  <dc:description/>
  <cp:lastModifiedBy>Secretaria</cp:lastModifiedBy>
  <cp:revision>2</cp:revision>
  <cp:lastPrinted>2018-12-19T17:50:00Z</cp:lastPrinted>
  <dcterms:created xsi:type="dcterms:W3CDTF">2018-12-19T02:39:00Z</dcterms:created>
  <dcterms:modified xsi:type="dcterms:W3CDTF">2018-12-19T18:22:00Z</dcterms:modified>
</cp:coreProperties>
</file>